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C1165F">
        <w:rPr>
          <w:rFonts w:ascii="Times New Roman" w:hAnsi="Times New Roman" w:cs="Times New Roman"/>
        </w:rPr>
        <w:t>по состоянию на 29.04</w:t>
      </w:r>
      <w:r w:rsidR="005275A5">
        <w:rPr>
          <w:rFonts w:ascii="Times New Roman" w:hAnsi="Times New Roman" w:cs="Times New Roman"/>
        </w:rPr>
        <w:t>.2022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053A3" w:rsidP="00B053A3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hAnsi="Times New Roman" w:cs="Times New Roman"/>
        </w:rPr>
        <w:t>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которые вносятся в правила доверительного управления фондом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или о передаче прав и обязанностей по договору доверительного управления ф</w:t>
      </w:r>
      <w:r w:rsidR="008F6F31" w:rsidRPr="00DC6881">
        <w:rPr>
          <w:rFonts w:ascii="Times New Roman" w:hAnsi="Times New Roman" w:cs="Times New Roman"/>
        </w:rPr>
        <w:t xml:space="preserve">ондом </w:t>
      </w:r>
      <w:r w:rsidRPr="00DC6881">
        <w:rPr>
          <w:rFonts w:ascii="Times New Roman" w:hAnsi="Times New Roman" w:cs="Times New Roman"/>
        </w:rPr>
        <w:t>другой управляющей компании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или о продлении срока действия договора доверительного управления фондом. Требования о погашении инвестиционных паев могут подаваться лицами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включенными в список лиц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имеющих право на участие в общем собрании владельцев инвестиционных паев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 голосовавшими против принятия соответствующего решения.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4C246B">
        <w:rPr>
          <w:rFonts w:ascii="Times New Roman" w:hAnsi="Times New Roman" w:cs="Times New Roman"/>
        </w:rPr>
        <w:t>онного фонда инвестированы в 111 позиций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B606BD" w:rsidRPr="00DC6881" w:rsidTr="00C45E2F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4C246B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46B">
              <w:rPr>
                <w:rFonts w:ascii="Times New Roman" w:hAnsi="Times New Roman" w:cs="Times New Roman"/>
              </w:rPr>
              <w:t>Нежилое здание Здания к/н 21:01:020101:1105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4C246B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606BD" w:rsidRPr="00DC6881" w:rsidTr="00C45E2F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4C246B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46B">
              <w:rPr>
                <w:rFonts w:ascii="Times New Roman" w:hAnsi="Times New Roman" w:cs="Times New Roman"/>
              </w:rPr>
              <w:t>Остатки на р/с ПАО БАНК "ФК ОТКРЫТИЕ" (денежные средства)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4C246B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606BD" w:rsidRPr="00DC6881" w:rsidTr="00C45E2F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4C246B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46B">
              <w:rPr>
                <w:rFonts w:ascii="Times New Roman" w:hAnsi="Times New Roman" w:cs="Times New Roman"/>
              </w:rPr>
              <w:t>Земли населённых пунктов Земельный участок к/н  12:05:0302016:103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4C246B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B606BD" w:rsidRPr="00DC6881" w:rsidTr="00C45E2F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4C246B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46B">
              <w:rPr>
                <w:rFonts w:ascii="Times New Roman" w:hAnsi="Times New Roman" w:cs="Times New Roman"/>
              </w:rPr>
              <w:t>Земли населённых пунктов Земельный участок к/н 12:05:0302016:102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2258C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C246B">
              <w:rPr>
                <w:rFonts w:ascii="Times New Roman" w:hAnsi="Times New Roman" w:cs="Times New Roman"/>
              </w:rPr>
              <w:t>.11</w:t>
            </w:r>
          </w:p>
        </w:tc>
      </w:tr>
      <w:tr w:rsidR="00B606BD" w:rsidRPr="00DC6881" w:rsidTr="00C45E2F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4C246B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246B">
              <w:rPr>
                <w:rFonts w:ascii="Times New Roman" w:hAnsi="Times New Roman" w:cs="Times New Roman"/>
              </w:rPr>
              <w:t>Земли населённых пунктов Имущественные права к/н 21:01:020101:0094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4C246B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72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EE1DF8" w:rsidRPr="00DC6881" w:rsidRDefault="005D6F19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8675"/>
        <w:tblW w:w="5382" w:type="dxa"/>
        <w:tblLook w:val="04A0" w:firstRow="1" w:lastRow="0" w:firstColumn="1" w:lastColumn="0" w:noHBand="0" w:noVBand="1"/>
      </w:tblPr>
      <w:tblGrid>
        <w:gridCol w:w="1910"/>
        <w:gridCol w:w="1771"/>
        <w:gridCol w:w="1701"/>
      </w:tblGrid>
      <w:tr w:rsidR="00E2258C" w:rsidRPr="00DC6881" w:rsidTr="00E2258C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E2258C" w:rsidRPr="00DC6881" w:rsidTr="00E2258C">
        <w:trPr>
          <w:trHeight w:val="62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E2258C" w:rsidRPr="00DC6881" w:rsidTr="00E2258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754036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C46E0F" w:rsidRDefault="00754036" w:rsidP="004C2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036">
              <w:rPr>
                <w:rFonts w:ascii="Times New Roman" w:hAnsi="Times New Roman" w:cs="Times New Roman"/>
              </w:rPr>
              <w:t>-1.37</w:t>
            </w:r>
          </w:p>
        </w:tc>
      </w:tr>
      <w:tr w:rsidR="00E2258C" w:rsidRPr="00DC6881" w:rsidTr="00E2258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754036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C46E0F" w:rsidRDefault="00754036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036">
              <w:rPr>
                <w:rFonts w:ascii="Times New Roman" w:hAnsi="Times New Roman" w:cs="Times New Roman"/>
              </w:rPr>
              <w:t>-11.83</w:t>
            </w:r>
          </w:p>
        </w:tc>
      </w:tr>
      <w:tr w:rsidR="00E2258C" w:rsidRPr="00DC6881" w:rsidTr="00E2258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754036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C46E0F" w:rsidRDefault="00754036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036">
              <w:rPr>
                <w:rFonts w:ascii="Times New Roman" w:hAnsi="Times New Roman" w:cs="Times New Roman"/>
              </w:rPr>
              <w:t>-17.07</w:t>
            </w:r>
          </w:p>
        </w:tc>
      </w:tr>
      <w:tr w:rsidR="00E2258C" w:rsidRPr="00DC6881" w:rsidTr="00E2258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754036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C46E0F" w:rsidRDefault="00754036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036">
              <w:rPr>
                <w:rFonts w:ascii="Times New Roman" w:hAnsi="Times New Roman" w:cs="Times New Roman"/>
              </w:rPr>
              <w:t>-21.53</w:t>
            </w:r>
          </w:p>
        </w:tc>
      </w:tr>
      <w:tr w:rsidR="00E2258C" w:rsidRPr="00DC6881" w:rsidTr="00E2258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754036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-62.80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C46E0F" w:rsidRDefault="00754036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036">
              <w:rPr>
                <w:rFonts w:ascii="Times New Roman" w:hAnsi="Times New Roman" w:cs="Times New Roman"/>
              </w:rPr>
              <w:t>-90.99</w:t>
            </w:r>
          </w:p>
        </w:tc>
      </w:tr>
      <w:tr w:rsidR="00E2258C" w:rsidRPr="00DC6881" w:rsidTr="00E2258C">
        <w:trPr>
          <w:trHeight w:val="37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754036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-81.81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C46E0F" w:rsidRDefault="00754036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036">
              <w:rPr>
                <w:rFonts w:ascii="Times New Roman" w:hAnsi="Times New Roman" w:cs="Times New Roman"/>
              </w:rPr>
              <w:t>-119.8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DF650D" w:rsidRPr="00DC6881" w:rsidRDefault="008E321E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A7A3D4F" wp14:editId="725C9142">
            <wp:extent cx="2584174" cy="1956021"/>
            <wp:effectExtent l="0" t="0" r="698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C67365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6F2F17">
        <w:rPr>
          <w:rFonts w:ascii="Times New Roman" w:hAnsi="Times New Roman" w:cs="Times New Roman"/>
        </w:rPr>
        <w:t>80 349 981.41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Pr="00DC6881" w:rsidRDefault="00B231C8" w:rsidP="001F7ADA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</w:t>
      </w:r>
      <w:r w:rsidR="00E37012">
        <w:rPr>
          <w:rFonts w:ascii="Times New Roman" w:hAnsi="Times New Roman" w:cs="Times New Roman"/>
        </w:rPr>
        <w:t>ст</w:t>
      </w:r>
      <w:r w:rsidR="002943C9">
        <w:rPr>
          <w:rFonts w:ascii="Times New Roman" w:hAnsi="Times New Roman" w:cs="Times New Roman"/>
        </w:rPr>
        <w:t>ои</w:t>
      </w:r>
      <w:r w:rsidR="006F2F17">
        <w:rPr>
          <w:rFonts w:ascii="Times New Roman" w:hAnsi="Times New Roman" w:cs="Times New Roman"/>
        </w:rPr>
        <w:t>мость инвестиционного пая 15 088</w:t>
      </w:r>
      <w:r w:rsidR="00870A1D">
        <w:rPr>
          <w:rFonts w:ascii="Times New Roman" w:hAnsi="Times New Roman" w:cs="Times New Roman"/>
        </w:rPr>
        <w:t>.</w:t>
      </w:r>
      <w:r w:rsidR="006F2F17">
        <w:rPr>
          <w:rFonts w:ascii="Times New Roman" w:hAnsi="Times New Roman" w:cs="Times New Roman"/>
        </w:rPr>
        <w:t>42</w:t>
      </w:r>
      <w:bookmarkStart w:id="0" w:name="_GoBack"/>
      <w:bookmarkEnd w:id="0"/>
      <w:r w:rsidRPr="00DC6881">
        <w:rPr>
          <w:rFonts w:ascii="Times New Roman" w:hAnsi="Times New Roman" w:cs="Times New Roman"/>
        </w:rPr>
        <w:t xml:space="preserve"> руб.</w:t>
      </w:r>
    </w:p>
    <w:p w:rsidR="00F03B7C" w:rsidRDefault="00F03B7C" w:rsidP="001F7ADA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 xml:space="preserve"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</w:t>
      </w:r>
      <w:r w:rsidRPr="00DC6881">
        <w:rPr>
          <w:rFonts w:ascii="Times New Roman" w:hAnsi="Times New Roman" w:cs="Times New Roman"/>
        </w:rPr>
        <w:lastRenderedPageBreak/>
        <w:t>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3531F8" w:rsidRDefault="003531F8" w:rsidP="001F7ADA">
      <w:pPr>
        <w:pStyle w:val="a5"/>
        <w:numPr>
          <w:ilvl w:val="0"/>
          <w:numId w:val="4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выплачиваются вознаграждения управляющей компании в размере 1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>5 (одна целая пять десятых) процента (налогом на добавленную стоимость не облагается) среднегодовой стоимости чистых активов фонда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 также специализированному депозитарию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r w:rsidR="00753F8D">
        <w:rPr>
          <w:rFonts w:ascii="Times New Roman" w:hAnsi="Times New Roman" w:cs="Times New Roman"/>
        </w:rPr>
        <w:t>р</w:t>
      </w:r>
      <w:r w:rsidRPr="00DC6881">
        <w:rPr>
          <w:rFonts w:ascii="Times New Roman" w:hAnsi="Times New Roman" w:cs="Times New Roman"/>
        </w:rPr>
        <w:t>егистратору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оценщикам в размере не более 0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>5 (Ноль целых пять десятых) процента (с учетом налога на добавленную стоимость) среднегодовой стоимости чистых активов фонда. 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1F7ADA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лицензия N 21-000-1-00102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Pr="00DC6881">
        <w:rPr>
          <w:rFonts w:ascii="Times New Roman" w:hAnsi="Times New Roman" w:cs="Times New Roman"/>
        </w:rPr>
        <w:t>»</w:t>
      </w:r>
      <w:r w:rsidR="008F3046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</w:t>
      </w:r>
      <w:hyperlink r:id="rId8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="00746CDF" w:rsidRPr="00E6411E">
        <w:rPr>
          <w:rFonts w:ascii="Times New Roman" w:hAnsi="Times New Roman" w:cs="Times New Roman"/>
        </w:rPr>
        <w:t>»</w:t>
      </w:r>
      <w:r w:rsidR="008F3046" w:rsidRPr="00E6411E">
        <w:rPr>
          <w:rFonts w:ascii="Times New Roman" w:hAnsi="Times New Roman" w:cs="Times New Roman"/>
        </w:rPr>
        <w:t>,</w:t>
      </w:r>
      <w:r w:rsidR="00746CDF" w:rsidRPr="00E6411E">
        <w:rPr>
          <w:rFonts w:ascii="Times New Roman" w:hAnsi="Times New Roman" w:cs="Times New Roman"/>
        </w:rPr>
        <w:t xml:space="preserve"> сайт </w:t>
      </w:r>
      <w:hyperlink r:id="rId9" w:history="1">
        <w:r w:rsidR="00746CDF" w:rsidRPr="00E6411E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25DD"/>
    <w:rsid w:val="0002200E"/>
    <w:rsid w:val="000260F3"/>
    <w:rsid w:val="00027B50"/>
    <w:rsid w:val="0006284F"/>
    <w:rsid w:val="000A4714"/>
    <w:rsid w:val="000F14CB"/>
    <w:rsid w:val="00120040"/>
    <w:rsid w:val="00125C95"/>
    <w:rsid w:val="00151D58"/>
    <w:rsid w:val="0015279F"/>
    <w:rsid w:val="00182E71"/>
    <w:rsid w:val="001A09C3"/>
    <w:rsid w:val="001B6DB9"/>
    <w:rsid w:val="001B72AB"/>
    <w:rsid w:val="001C66AE"/>
    <w:rsid w:val="001E03AA"/>
    <w:rsid w:val="001F7ADA"/>
    <w:rsid w:val="00206B90"/>
    <w:rsid w:val="00223334"/>
    <w:rsid w:val="00266B1B"/>
    <w:rsid w:val="002943C9"/>
    <w:rsid w:val="002A677F"/>
    <w:rsid w:val="002B717B"/>
    <w:rsid w:val="002E39BE"/>
    <w:rsid w:val="002E586B"/>
    <w:rsid w:val="003531F8"/>
    <w:rsid w:val="00363F20"/>
    <w:rsid w:val="00371B38"/>
    <w:rsid w:val="003A2EDF"/>
    <w:rsid w:val="003D6EB9"/>
    <w:rsid w:val="003F11DC"/>
    <w:rsid w:val="00453067"/>
    <w:rsid w:val="004A0ABA"/>
    <w:rsid w:val="004A3ED4"/>
    <w:rsid w:val="004A5F5B"/>
    <w:rsid w:val="004A7617"/>
    <w:rsid w:val="004B5AD6"/>
    <w:rsid w:val="004C246B"/>
    <w:rsid w:val="005275A5"/>
    <w:rsid w:val="00542670"/>
    <w:rsid w:val="00572DEF"/>
    <w:rsid w:val="00592EEE"/>
    <w:rsid w:val="005944D7"/>
    <w:rsid w:val="005B52ED"/>
    <w:rsid w:val="005D6F19"/>
    <w:rsid w:val="005E1B0D"/>
    <w:rsid w:val="005E7FD3"/>
    <w:rsid w:val="006F2F17"/>
    <w:rsid w:val="006F4A79"/>
    <w:rsid w:val="00734072"/>
    <w:rsid w:val="00746CDF"/>
    <w:rsid w:val="00753F8D"/>
    <w:rsid w:val="00754036"/>
    <w:rsid w:val="007B0369"/>
    <w:rsid w:val="007C1A75"/>
    <w:rsid w:val="007E40BA"/>
    <w:rsid w:val="00803846"/>
    <w:rsid w:val="00821E81"/>
    <w:rsid w:val="00823043"/>
    <w:rsid w:val="0083164C"/>
    <w:rsid w:val="00860AED"/>
    <w:rsid w:val="00867BBD"/>
    <w:rsid w:val="00870A1D"/>
    <w:rsid w:val="008876AF"/>
    <w:rsid w:val="008B2941"/>
    <w:rsid w:val="008E321E"/>
    <w:rsid w:val="008F3046"/>
    <w:rsid w:val="008F6F31"/>
    <w:rsid w:val="008F781A"/>
    <w:rsid w:val="00925DE2"/>
    <w:rsid w:val="009374E5"/>
    <w:rsid w:val="009B4EE8"/>
    <w:rsid w:val="00A05C24"/>
    <w:rsid w:val="00A163AF"/>
    <w:rsid w:val="00A4283B"/>
    <w:rsid w:val="00A507DB"/>
    <w:rsid w:val="00A6551F"/>
    <w:rsid w:val="00AC251C"/>
    <w:rsid w:val="00AD3C27"/>
    <w:rsid w:val="00AF00F2"/>
    <w:rsid w:val="00B053A3"/>
    <w:rsid w:val="00B231C8"/>
    <w:rsid w:val="00B40149"/>
    <w:rsid w:val="00B606BD"/>
    <w:rsid w:val="00B85523"/>
    <w:rsid w:val="00BB7D74"/>
    <w:rsid w:val="00BF6C4E"/>
    <w:rsid w:val="00C1165F"/>
    <w:rsid w:val="00C27C00"/>
    <w:rsid w:val="00C45E2F"/>
    <w:rsid w:val="00C46E0F"/>
    <w:rsid w:val="00C67365"/>
    <w:rsid w:val="00C776F7"/>
    <w:rsid w:val="00C85375"/>
    <w:rsid w:val="00C9036F"/>
    <w:rsid w:val="00C9361F"/>
    <w:rsid w:val="00CB5244"/>
    <w:rsid w:val="00CC72CF"/>
    <w:rsid w:val="00D11B91"/>
    <w:rsid w:val="00DB4167"/>
    <w:rsid w:val="00DC6881"/>
    <w:rsid w:val="00DD08D1"/>
    <w:rsid w:val="00DD0F8F"/>
    <w:rsid w:val="00DF1144"/>
    <w:rsid w:val="00DF650D"/>
    <w:rsid w:val="00E2258C"/>
    <w:rsid w:val="00E37012"/>
    <w:rsid w:val="00E6411E"/>
    <w:rsid w:val="00EC04EA"/>
    <w:rsid w:val="00ED3F79"/>
    <w:rsid w:val="00EE1DF8"/>
    <w:rsid w:val="00EE489C"/>
    <w:rsid w:val="00F0194C"/>
    <w:rsid w:val="00F03B7C"/>
    <w:rsid w:val="00F65E19"/>
    <w:rsid w:val="00F85240"/>
    <w:rsid w:val="00F85820"/>
    <w:rsid w:val="00F940CD"/>
    <w:rsid w:val="00FB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ep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2%20(002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Доходность</a:t>
            </a:r>
            <a:r>
              <a:rPr lang="ru-RU" sz="1100" baseline="0"/>
              <a:t> за календарный год, %</a:t>
            </a:r>
            <a:endParaRPr lang="ru-RU" sz="11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%'!$A$28:$A$32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'Доходность за календарный год %'!$B$28:$B$32</c:f>
              <c:numCache>
                <c:formatCode>#,##0.00</c:formatCode>
                <c:ptCount val="5"/>
                <c:pt idx="0" formatCode="0.00">
                  <c:v>-28.555561067083968</c:v>
                </c:pt>
                <c:pt idx="1">
                  <c:v>-31.092552295377075</c:v>
                </c:pt>
                <c:pt idx="2">
                  <c:v>-46.16</c:v>
                </c:pt>
                <c:pt idx="3">
                  <c:v>-22.37</c:v>
                </c:pt>
                <c:pt idx="4">
                  <c:v>-10.98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49927320"/>
        <c:axId val="249929280"/>
      </c:barChart>
      <c:catAx>
        <c:axId val="249927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9929280"/>
        <c:crosses val="autoZero"/>
        <c:auto val="1"/>
        <c:lblAlgn val="ctr"/>
        <c:lblOffset val="100"/>
        <c:noMultiLvlLbl val="0"/>
      </c:catAx>
      <c:valAx>
        <c:axId val="249929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9927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ECFBF-1402-4023-A151-4E1CDC06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Андреев Александр Сергеевич</cp:lastModifiedBy>
  <cp:revision>106</cp:revision>
  <dcterms:created xsi:type="dcterms:W3CDTF">2021-10-07T09:48:00Z</dcterms:created>
  <dcterms:modified xsi:type="dcterms:W3CDTF">2022-05-16T11:53:00Z</dcterms:modified>
</cp:coreProperties>
</file>