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881"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Ключевой информационный документ</w:t>
      </w:r>
    </w:p>
    <w:p w:rsidR="002E586B" w:rsidRPr="00C45E2F" w:rsidRDefault="00DC6881" w:rsidP="00DC6881">
      <w:pPr>
        <w:spacing w:after="0"/>
        <w:jc w:val="center"/>
        <w:rPr>
          <w:rFonts w:ascii="Times New Roman" w:hAnsi="Times New Roman" w:cs="Times New Roman"/>
          <w:b/>
          <w:sz w:val="28"/>
          <w:szCs w:val="28"/>
        </w:rPr>
      </w:pPr>
      <w:r w:rsidRPr="00C45E2F">
        <w:rPr>
          <w:rFonts w:ascii="Times New Roman" w:hAnsi="Times New Roman" w:cs="Times New Roman"/>
          <w:b/>
          <w:sz w:val="28"/>
          <w:szCs w:val="28"/>
        </w:rPr>
        <w:t>о паевом инвестиционном фонде</w:t>
      </w:r>
    </w:p>
    <w:p w:rsidR="00DC6881" w:rsidRDefault="00DC6881" w:rsidP="00DC6881">
      <w:pPr>
        <w:pBdr>
          <w:bottom w:val="single" w:sz="12" w:space="1" w:color="auto"/>
        </w:pBdr>
        <w:spacing w:after="0"/>
        <w:jc w:val="both"/>
        <w:rPr>
          <w:rFonts w:ascii="Times New Roman" w:hAnsi="Times New Roman" w:cs="Times New Roman"/>
        </w:rPr>
      </w:pPr>
    </w:p>
    <w:p w:rsidR="00C45E2F" w:rsidRDefault="00C45E2F" w:rsidP="00DC6881">
      <w:pPr>
        <w:pBdr>
          <w:bottom w:val="single" w:sz="12" w:space="1" w:color="auto"/>
        </w:pBdr>
        <w:spacing w:after="0"/>
        <w:jc w:val="both"/>
        <w:rPr>
          <w:rFonts w:ascii="Times New Roman" w:hAnsi="Times New Roman" w:cs="Times New Roman"/>
        </w:rPr>
      </w:pPr>
    </w:p>
    <w:p w:rsidR="00DC6881" w:rsidRDefault="00DC6881" w:rsidP="00C45E2F">
      <w:pPr>
        <w:spacing w:before="120" w:after="120"/>
        <w:jc w:val="both"/>
        <w:rPr>
          <w:rFonts w:ascii="Times New Roman" w:hAnsi="Times New Roman" w:cs="Times New Roman"/>
        </w:rPr>
      </w:pPr>
      <w:r w:rsidRPr="00DC6881">
        <w:rPr>
          <w:rFonts w:ascii="Times New Roman" w:hAnsi="Times New Roman" w:cs="Times New Roman"/>
        </w:rPr>
        <w:t>Раздел 1. Общие сведения</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 xml:space="preserve">Ключевой информационный документ </w:t>
      </w:r>
      <w:r w:rsidR="00FC217C">
        <w:rPr>
          <w:rFonts w:ascii="Times New Roman" w:hAnsi="Times New Roman" w:cs="Times New Roman"/>
        </w:rPr>
        <w:t>по состоянию на 30.12</w:t>
      </w:r>
      <w:r w:rsidR="002A677F" w:rsidRPr="00DC6881">
        <w:rPr>
          <w:rFonts w:ascii="Times New Roman" w:hAnsi="Times New Roman" w:cs="Times New Roman"/>
        </w:rPr>
        <w:t>.2021 года.</w:t>
      </w:r>
    </w:p>
    <w:p w:rsidR="004B5AD6" w:rsidRPr="00DC6881" w:rsidRDefault="004B5AD6" w:rsidP="00DC6881">
      <w:pPr>
        <w:spacing w:after="0"/>
        <w:jc w:val="both"/>
        <w:rPr>
          <w:rFonts w:ascii="Times New Roman" w:hAnsi="Times New Roman" w:cs="Times New Roman"/>
        </w:rPr>
      </w:pPr>
      <w:r w:rsidRPr="00DC6881">
        <w:rPr>
          <w:rFonts w:ascii="Times New Roman" w:hAnsi="Times New Roman" w:cs="Times New Roman"/>
        </w:rP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02200E" w:rsidRPr="00DC6881" w:rsidRDefault="0002200E" w:rsidP="004B5AD6">
      <w:pPr>
        <w:spacing w:after="0"/>
        <w:rPr>
          <w:rFonts w:ascii="Times New Roman" w:hAnsi="Times New Roman" w:cs="Times New Roman"/>
        </w:rPr>
      </w:pPr>
    </w:p>
    <w:p w:rsidR="0002200E" w:rsidRPr="00DC6881" w:rsidRDefault="0002200E" w:rsidP="00882138">
      <w:pPr>
        <w:spacing w:after="0"/>
        <w:rPr>
          <w:rFonts w:ascii="Times New Roman" w:hAnsi="Times New Roman" w:cs="Times New Roman"/>
          <w:b/>
        </w:rPr>
      </w:pPr>
      <w:r w:rsidRPr="00DC6881">
        <w:rPr>
          <w:rFonts w:ascii="Times New Roman" w:hAnsi="Times New Roman" w:cs="Times New Roman"/>
          <w:b/>
        </w:rPr>
        <w:t xml:space="preserve">Закрытый </w:t>
      </w:r>
      <w:r w:rsidR="00882138">
        <w:rPr>
          <w:rFonts w:ascii="Times New Roman" w:hAnsi="Times New Roman" w:cs="Times New Roman"/>
          <w:b/>
        </w:rPr>
        <w:t>рентный паевой инвестиционный фонд «Капитальные вложения»</w:t>
      </w:r>
    </w:p>
    <w:p w:rsidR="002A677F" w:rsidRDefault="002A677F" w:rsidP="00C45E2F">
      <w:pPr>
        <w:pBdr>
          <w:bottom w:val="single" w:sz="12" w:space="1" w:color="auto"/>
        </w:pBdr>
        <w:spacing w:after="0"/>
        <w:rPr>
          <w:rFonts w:ascii="Times New Roman" w:hAnsi="Times New Roman" w:cs="Times New Roman"/>
        </w:rPr>
      </w:pPr>
      <w:r w:rsidRPr="00DC6881">
        <w:rPr>
          <w:rFonts w:ascii="Times New Roman" w:hAnsi="Times New Roman" w:cs="Times New Roman"/>
        </w:rPr>
        <w:t>под управлением Общества с ограниченной ответственностью «Управляющая компания «Навигатор»</w:t>
      </w:r>
    </w:p>
    <w:p w:rsidR="00C45E2F" w:rsidRPr="00DC6881" w:rsidRDefault="00C45E2F" w:rsidP="00C45E2F">
      <w:pPr>
        <w:pBdr>
          <w:bottom w:val="single" w:sz="12" w:space="1" w:color="auto"/>
        </w:pBdr>
        <w:spacing w:after="0"/>
        <w:rPr>
          <w:rFonts w:ascii="Times New Roman" w:hAnsi="Times New Roman" w:cs="Times New Roman"/>
        </w:rPr>
      </w:pPr>
    </w:p>
    <w:p w:rsidR="002A677F" w:rsidRPr="00DC6881" w:rsidRDefault="002A677F" w:rsidP="00C45E2F">
      <w:pPr>
        <w:spacing w:before="120" w:after="120"/>
        <w:rPr>
          <w:rFonts w:ascii="Times New Roman" w:hAnsi="Times New Roman" w:cs="Times New Roman"/>
        </w:rPr>
      </w:pPr>
      <w:r w:rsidRPr="00DC6881">
        <w:rPr>
          <w:rFonts w:ascii="Times New Roman" w:hAnsi="Times New Roman" w:cs="Times New Roman"/>
        </w:rPr>
        <w:t>Раздел 2. Внимание</w:t>
      </w:r>
    </w:p>
    <w:p w:rsidR="00027B50" w:rsidRPr="00DC6881" w:rsidRDefault="00027B5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 xml:space="preserve">Возврат и доходность инвестиций в паевой инвестиционный фонд не гарантированы государством или иными лицами. </w:t>
      </w:r>
    </w:p>
    <w:p w:rsidR="00F85820" w:rsidRPr="00DC6881" w:rsidRDefault="00F85820" w:rsidP="00F8582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Результаты инвестирования в прошлом не определяют доходы в будущем. Стоимость инвестиционных паев может увеличиваться и уменьшаться.</w:t>
      </w:r>
    </w:p>
    <w:p w:rsidR="00F85820" w:rsidRPr="00DC6881" w:rsidRDefault="00F85820" w:rsidP="00642760">
      <w:pPr>
        <w:pStyle w:val="ConsPlusNormal"/>
        <w:numPr>
          <w:ilvl w:val="0"/>
          <w:numId w:val="1"/>
        </w:numPr>
        <w:ind w:left="357" w:hanging="357"/>
        <w:jc w:val="both"/>
        <w:rPr>
          <w:rFonts w:ascii="Times New Roman" w:eastAsiaTheme="minorHAnsi" w:hAnsi="Times New Roman" w:cs="Times New Roman"/>
          <w:szCs w:val="22"/>
          <w:lang w:eastAsia="en-US"/>
        </w:rPr>
      </w:pPr>
      <w:r w:rsidRPr="00DC6881">
        <w:rPr>
          <w:rFonts w:ascii="Times New Roman" w:eastAsiaTheme="minorHAnsi" w:hAnsi="Times New Roman" w:cs="Times New Roman"/>
          <w:szCs w:val="22"/>
          <w:lang w:eastAsia="en-US"/>
        </w:rPr>
        <w:t>Прежде, чем приобрести инвестиционный пай, след</w:t>
      </w:r>
      <w:r w:rsidR="00BB7D74" w:rsidRPr="00DC6881">
        <w:rPr>
          <w:rFonts w:ascii="Times New Roman" w:eastAsiaTheme="minorHAnsi" w:hAnsi="Times New Roman" w:cs="Times New Roman"/>
          <w:szCs w:val="22"/>
          <w:lang w:eastAsia="en-US"/>
        </w:rPr>
        <w:t>ует внимательно ознакомиться с п</w:t>
      </w:r>
      <w:r w:rsidRPr="00DC6881">
        <w:rPr>
          <w:rFonts w:ascii="Times New Roman" w:eastAsiaTheme="minorHAnsi" w:hAnsi="Times New Roman" w:cs="Times New Roman"/>
          <w:szCs w:val="22"/>
          <w:lang w:eastAsia="en-US"/>
        </w:rPr>
        <w:t>равилами доверительного управле</w:t>
      </w:r>
      <w:r w:rsidR="00F0194C" w:rsidRPr="00DC6881">
        <w:rPr>
          <w:rFonts w:ascii="Times New Roman" w:eastAsiaTheme="minorHAnsi" w:hAnsi="Times New Roman" w:cs="Times New Roman"/>
          <w:szCs w:val="22"/>
          <w:lang w:eastAsia="en-US"/>
        </w:rPr>
        <w:t xml:space="preserve">ния </w:t>
      </w:r>
      <w:r w:rsidR="00372EDE">
        <w:rPr>
          <w:rFonts w:ascii="Times New Roman" w:eastAsiaTheme="minorHAnsi" w:hAnsi="Times New Roman" w:cs="Times New Roman"/>
          <w:szCs w:val="22"/>
          <w:lang w:eastAsia="en-US"/>
        </w:rPr>
        <w:t xml:space="preserve">фондом, размещенными на сайте </w:t>
      </w:r>
      <w:r w:rsidR="00642760" w:rsidRPr="00642760">
        <w:rPr>
          <w:rStyle w:val="a4"/>
          <w:rFonts w:ascii="Times New Roman" w:eastAsiaTheme="minorHAnsi" w:hAnsi="Times New Roman" w:cs="Times New Roman"/>
          <w:szCs w:val="22"/>
          <w:lang w:eastAsia="en-US"/>
        </w:rPr>
        <w:t>http://www.am-navigator.ru/ru/disclosure/finam/docs/</w:t>
      </w:r>
      <w:r w:rsidR="00BB7D74" w:rsidRPr="00DC6881">
        <w:rPr>
          <w:rFonts w:ascii="Times New Roman" w:eastAsiaTheme="minorHAnsi" w:hAnsi="Times New Roman" w:cs="Times New Roman"/>
          <w:szCs w:val="22"/>
          <w:lang w:eastAsia="en-US"/>
        </w:rPr>
        <w:t>.</w:t>
      </w:r>
      <w:r w:rsidR="00572DEF" w:rsidRPr="00DC6881">
        <w:rPr>
          <w:rFonts w:ascii="Times New Roman" w:eastAsiaTheme="minorHAnsi" w:hAnsi="Times New Roman" w:cs="Times New Roman"/>
          <w:szCs w:val="22"/>
          <w:lang w:eastAsia="en-US"/>
        </w:rPr>
        <w:t xml:space="preserve"> </w:t>
      </w:r>
    </w:p>
    <w:p w:rsidR="00B053A3" w:rsidRPr="00C45E2F" w:rsidRDefault="00B053A3" w:rsidP="00B053A3">
      <w:pPr>
        <w:pStyle w:val="ConsPlusNormal"/>
        <w:numPr>
          <w:ilvl w:val="0"/>
          <w:numId w:val="1"/>
        </w:numPr>
        <w:pBdr>
          <w:bottom w:val="single" w:sz="12" w:space="1" w:color="auto"/>
        </w:pBdr>
        <w:ind w:left="357" w:hanging="357"/>
        <w:jc w:val="both"/>
        <w:rPr>
          <w:rFonts w:ascii="Times New Roman" w:eastAsiaTheme="minorHAnsi" w:hAnsi="Times New Roman" w:cs="Times New Roman"/>
          <w:szCs w:val="22"/>
          <w:lang w:eastAsia="en-US"/>
        </w:rPr>
      </w:pPr>
      <w:r w:rsidRPr="00DC6881">
        <w:rPr>
          <w:rFonts w:ascii="Times New Roman" w:hAnsi="Times New Roman" w:cs="Times New Roman"/>
        </w:rPr>
        <w:t>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правила доверительного управления фондом, или о передаче прав и обязанностей по договору доверительного управления ф</w:t>
      </w:r>
      <w:r w:rsidR="008F6F31" w:rsidRPr="00DC6881">
        <w:rPr>
          <w:rFonts w:ascii="Times New Roman" w:hAnsi="Times New Roman" w:cs="Times New Roman"/>
        </w:rPr>
        <w:t xml:space="preserve">ондом </w:t>
      </w:r>
      <w:r w:rsidRPr="00DC6881">
        <w:rPr>
          <w:rFonts w:ascii="Times New Roman" w:hAnsi="Times New Roman" w:cs="Times New Roman"/>
        </w:rPr>
        <w:t>другой управляющей компании, или о продлении срока действия договора доверительного управления фондом.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C45E2F" w:rsidRPr="00C45E2F" w:rsidRDefault="00C45E2F" w:rsidP="00C45E2F">
      <w:pPr>
        <w:pStyle w:val="ConsPlusNormal"/>
        <w:pBdr>
          <w:bottom w:val="single" w:sz="12" w:space="1" w:color="auto"/>
        </w:pBdr>
        <w:jc w:val="both"/>
        <w:rPr>
          <w:rFonts w:ascii="Times New Roman" w:eastAsiaTheme="minorHAnsi" w:hAnsi="Times New Roman" w:cs="Times New Roman"/>
          <w:szCs w:val="22"/>
          <w:lang w:eastAsia="en-US"/>
        </w:rPr>
      </w:pPr>
    </w:p>
    <w:p w:rsidR="002A677F" w:rsidRPr="00DC6881" w:rsidRDefault="00DB4167" w:rsidP="00C45E2F">
      <w:pPr>
        <w:spacing w:before="120" w:after="120"/>
        <w:rPr>
          <w:rFonts w:ascii="Times New Roman" w:hAnsi="Times New Roman" w:cs="Times New Roman"/>
        </w:rPr>
      </w:pPr>
      <w:r w:rsidRPr="00DC6881">
        <w:rPr>
          <w:rFonts w:ascii="Times New Roman" w:hAnsi="Times New Roman" w:cs="Times New Roman"/>
        </w:rPr>
        <w:t>Раздел 3. Инвестиционная стратегия</w:t>
      </w:r>
    </w:p>
    <w:p w:rsidR="00821E81" w:rsidRPr="00DC6881" w:rsidRDefault="00DB4167"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Инвестиционной стратеги</w:t>
      </w:r>
      <w:r w:rsidR="00C9036F" w:rsidRPr="00DC6881">
        <w:rPr>
          <w:rFonts w:ascii="Times New Roman" w:hAnsi="Times New Roman" w:cs="Times New Roman"/>
        </w:rPr>
        <w:t xml:space="preserve">ей управляющей компании </w:t>
      </w:r>
      <w:r w:rsidRPr="00DC6881">
        <w:rPr>
          <w:rFonts w:ascii="Times New Roman" w:hAnsi="Times New Roman" w:cs="Times New Roman"/>
        </w:rPr>
        <w:t xml:space="preserve">фонда является активное управление имуществом, составляющим паевой инвестиционный фонд, в </w:t>
      </w:r>
      <w:r w:rsidR="003A2EDF" w:rsidRPr="00DC6881">
        <w:rPr>
          <w:rFonts w:ascii="Times New Roman" w:hAnsi="Times New Roman" w:cs="Times New Roman"/>
        </w:rPr>
        <w:t>соответствии</w:t>
      </w:r>
      <w:r w:rsidRPr="00DC6881">
        <w:rPr>
          <w:rFonts w:ascii="Times New Roman" w:hAnsi="Times New Roman" w:cs="Times New Roman"/>
        </w:rPr>
        <w:t xml:space="preserve"> с его инвестиционной декларацией</w:t>
      </w:r>
      <w:r w:rsidR="009374E5" w:rsidRPr="00DC6881">
        <w:rPr>
          <w:rFonts w:ascii="Times New Roman" w:hAnsi="Times New Roman" w:cs="Times New Roman"/>
        </w:rPr>
        <w:t>.</w:t>
      </w:r>
      <w:r w:rsidR="00C9036F" w:rsidRPr="00DC6881">
        <w:rPr>
          <w:rFonts w:ascii="Times New Roman" w:hAnsi="Times New Roman" w:cs="Times New Roman"/>
        </w:rPr>
        <w:t xml:space="preserve">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 xml:space="preserve">Основной объем активов в управлении инвестирован в недвижимое имущество. </w:t>
      </w:r>
    </w:p>
    <w:p w:rsidR="00821E81" w:rsidRPr="00DC6881" w:rsidRDefault="00C9036F"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Временно свободные денежные средства размещаются преимущественно на депозиты в кредитных организациях.</w:t>
      </w:r>
      <w:r w:rsidR="00F940CD" w:rsidRPr="00DC6881">
        <w:rPr>
          <w:rFonts w:ascii="Times New Roman" w:hAnsi="Times New Roman" w:cs="Times New Roman"/>
        </w:rPr>
        <w:t xml:space="preserve"> </w:t>
      </w:r>
    </w:p>
    <w:p w:rsidR="00DC6881" w:rsidRDefault="00F940CD"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Активы паевого инвестиц</w:t>
      </w:r>
      <w:r w:rsidR="0083427C">
        <w:rPr>
          <w:rFonts w:ascii="Times New Roman" w:hAnsi="Times New Roman" w:cs="Times New Roman"/>
        </w:rPr>
        <w:t>ио</w:t>
      </w:r>
      <w:r w:rsidR="005F0E83">
        <w:rPr>
          <w:rFonts w:ascii="Times New Roman" w:hAnsi="Times New Roman" w:cs="Times New Roman"/>
        </w:rPr>
        <w:t>нного фонда инвестированы в 1161</w:t>
      </w:r>
      <w:r w:rsidR="0083427C">
        <w:rPr>
          <w:rFonts w:ascii="Times New Roman" w:hAnsi="Times New Roman" w:cs="Times New Roman"/>
        </w:rPr>
        <w:t xml:space="preserve"> позиции</w:t>
      </w:r>
      <w:r w:rsidR="00821E81" w:rsidRPr="00DC6881">
        <w:rPr>
          <w:rFonts w:ascii="Times New Roman" w:hAnsi="Times New Roman" w:cs="Times New Roman"/>
        </w:rPr>
        <w:t>.</w:t>
      </w:r>
    </w:p>
    <w:p w:rsidR="00B606BD" w:rsidRPr="00DC6881" w:rsidRDefault="00D11B91" w:rsidP="001F7ADA">
      <w:pPr>
        <w:pStyle w:val="a5"/>
        <w:numPr>
          <w:ilvl w:val="0"/>
          <w:numId w:val="2"/>
        </w:numPr>
        <w:spacing w:after="0"/>
        <w:ind w:left="357" w:hanging="357"/>
        <w:jc w:val="both"/>
        <w:rPr>
          <w:rFonts w:ascii="Times New Roman" w:hAnsi="Times New Roman" w:cs="Times New Roman"/>
        </w:rPr>
      </w:pPr>
      <w:r w:rsidRPr="00DC6881">
        <w:rPr>
          <w:rFonts w:ascii="Times New Roman" w:hAnsi="Times New Roman" w:cs="Times New Roman"/>
        </w:rPr>
        <w:t>Крупнейшие объекты инвестирования в активах</w:t>
      </w:r>
    </w:p>
    <w:p w:rsidR="00363F20" w:rsidRPr="00DC6881" w:rsidRDefault="00363F20" w:rsidP="004B5AD6">
      <w:pPr>
        <w:spacing w:after="0"/>
        <w:rPr>
          <w:rFonts w:ascii="Times New Roman" w:hAnsi="Times New Roman" w:cs="Times New Roman"/>
        </w:rPr>
      </w:pPr>
    </w:p>
    <w:tbl>
      <w:tblPr>
        <w:tblW w:w="81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4993"/>
        <w:gridCol w:w="2636"/>
      </w:tblGrid>
      <w:tr w:rsidR="00B606BD" w:rsidRPr="00DC6881" w:rsidTr="00C45E2F">
        <w:trPr>
          <w:trHeight w:val="712"/>
        </w:trPr>
        <w:tc>
          <w:tcPr>
            <w:tcW w:w="554"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 п/п</w:t>
            </w:r>
          </w:p>
        </w:tc>
        <w:tc>
          <w:tcPr>
            <w:tcW w:w="4993" w:type="dxa"/>
            <w:shd w:val="clear" w:color="auto" w:fill="auto"/>
            <w:noWrap/>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Наименование позиции</w:t>
            </w:r>
          </w:p>
        </w:tc>
        <w:tc>
          <w:tcPr>
            <w:tcW w:w="2636" w:type="dxa"/>
            <w:shd w:val="clear" w:color="auto" w:fill="auto"/>
            <w:vAlign w:val="center"/>
            <w:hideMark/>
          </w:tcPr>
          <w:p w:rsidR="00B606BD" w:rsidRPr="00DC6881" w:rsidRDefault="00B606BD" w:rsidP="00B606BD">
            <w:pPr>
              <w:spacing w:after="0" w:line="240" w:lineRule="auto"/>
              <w:jc w:val="center"/>
              <w:rPr>
                <w:rFonts w:ascii="Times New Roman" w:eastAsia="Times New Roman" w:hAnsi="Times New Roman" w:cs="Times New Roman"/>
                <w:b/>
                <w:bCs/>
                <w:color w:val="000000"/>
                <w:lang w:eastAsia="ru-RU"/>
              </w:rPr>
            </w:pPr>
            <w:r w:rsidRPr="00DC6881">
              <w:rPr>
                <w:rFonts w:ascii="Times New Roman" w:eastAsia="Times New Roman" w:hAnsi="Times New Roman" w:cs="Times New Roman"/>
                <w:b/>
                <w:bCs/>
                <w:color w:val="000000"/>
                <w:lang w:eastAsia="ru-RU"/>
              </w:rPr>
              <w:t>Доля от активов в %</w:t>
            </w:r>
          </w:p>
        </w:tc>
      </w:tr>
      <w:tr w:rsidR="00B606BD" w:rsidRPr="00DC6881" w:rsidTr="00C45E2F">
        <w:trPr>
          <w:trHeight w:val="327"/>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1</w:t>
            </w:r>
          </w:p>
        </w:tc>
        <w:tc>
          <w:tcPr>
            <w:tcW w:w="4993" w:type="dxa"/>
            <w:shd w:val="clear" w:color="auto" w:fill="auto"/>
            <w:vAlign w:val="center"/>
            <w:hideMark/>
          </w:tcPr>
          <w:p w:rsidR="00B606BD" w:rsidRPr="00DC6881" w:rsidRDefault="0083427C" w:rsidP="00DC6881">
            <w:pPr>
              <w:spacing w:after="0" w:line="240" w:lineRule="auto"/>
              <w:rPr>
                <w:rFonts w:ascii="Times New Roman" w:hAnsi="Times New Roman" w:cs="Times New Roman"/>
              </w:rPr>
            </w:pPr>
            <w:r w:rsidRPr="0083427C">
              <w:rPr>
                <w:rFonts w:ascii="Times New Roman" w:hAnsi="Times New Roman" w:cs="Times New Roman"/>
              </w:rPr>
              <w:t>Депозит в ПАО "РГС БАНК" (денежные средства)</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Pr>
                <w:rFonts w:ascii="Times New Roman" w:hAnsi="Times New Roman" w:cs="Times New Roman"/>
              </w:rPr>
              <w:t>4.53</w:t>
            </w:r>
          </w:p>
        </w:tc>
      </w:tr>
      <w:tr w:rsidR="00B606BD" w:rsidRPr="00DC6881" w:rsidTr="00C45E2F">
        <w:trPr>
          <w:trHeight w:val="349"/>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2</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58:03:0000000:85</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2.17</w:t>
            </w:r>
          </w:p>
        </w:tc>
      </w:tr>
      <w:tr w:rsidR="00B606BD" w:rsidRPr="00DC6881" w:rsidTr="00C45E2F">
        <w:trPr>
          <w:trHeight w:val="336"/>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3</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58:03:0000000:43</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2.09</w:t>
            </w:r>
          </w:p>
        </w:tc>
      </w:tr>
      <w:tr w:rsidR="00B606BD" w:rsidRPr="00DC6881" w:rsidTr="00C45E2F">
        <w:trPr>
          <w:trHeight w:val="324"/>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lastRenderedPageBreak/>
              <w:t>4</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23:18:0000000:46</w:t>
            </w:r>
          </w:p>
        </w:tc>
        <w:tc>
          <w:tcPr>
            <w:tcW w:w="2636" w:type="dxa"/>
            <w:shd w:val="clear" w:color="auto" w:fill="auto"/>
            <w:noWrap/>
            <w:vAlign w:val="center"/>
            <w:hideMark/>
          </w:tcPr>
          <w:p w:rsidR="00B606BD" w:rsidRPr="00DC6881" w:rsidRDefault="005F0E83" w:rsidP="005F0E83">
            <w:pPr>
              <w:spacing w:after="0" w:line="240" w:lineRule="auto"/>
              <w:jc w:val="center"/>
              <w:rPr>
                <w:rFonts w:ascii="Times New Roman" w:hAnsi="Times New Roman" w:cs="Times New Roman"/>
              </w:rPr>
            </w:pPr>
            <w:r w:rsidRPr="005F0E83">
              <w:rPr>
                <w:rFonts w:ascii="Times New Roman" w:hAnsi="Times New Roman" w:cs="Times New Roman"/>
              </w:rPr>
              <w:t>1.56</w:t>
            </w:r>
          </w:p>
        </w:tc>
      </w:tr>
      <w:tr w:rsidR="00B606BD" w:rsidRPr="00DC6881" w:rsidTr="00C45E2F">
        <w:trPr>
          <w:trHeight w:val="328"/>
        </w:trPr>
        <w:tc>
          <w:tcPr>
            <w:tcW w:w="554" w:type="dxa"/>
            <w:shd w:val="clear" w:color="auto" w:fill="auto"/>
            <w:noWrap/>
            <w:vAlign w:val="center"/>
            <w:hideMark/>
          </w:tcPr>
          <w:p w:rsidR="00B606BD" w:rsidRPr="00DC6881" w:rsidRDefault="00B606BD" w:rsidP="00B606BD">
            <w:pPr>
              <w:spacing w:after="0" w:line="240" w:lineRule="auto"/>
              <w:jc w:val="center"/>
              <w:rPr>
                <w:rFonts w:ascii="Times New Roman" w:hAnsi="Times New Roman" w:cs="Times New Roman"/>
              </w:rPr>
            </w:pPr>
            <w:r w:rsidRPr="00DC6881">
              <w:rPr>
                <w:rFonts w:ascii="Times New Roman" w:hAnsi="Times New Roman" w:cs="Times New Roman"/>
              </w:rPr>
              <w:t>5</w:t>
            </w:r>
          </w:p>
        </w:tc>
        <w:tc>
          <w:tcPr>
            <w:tcW w:w="4993" w:type="dxa"/>
            <w:shd w:val="clear" w:color="auto" w:fill="auto"/>
            <w:vAlign w:val="center"/>
            <w:hideMark/>
          </w:tcPr>
          <w:p w:rsidR="00B606BD" w:rsidRPr="00DC6881" w:rsidRDefault="005F0E83" w:rsidP="00DC6881">
            <w:pPr>
              <w:spacing w:after="0" w:line="240" w:lineRule="auto"/>
              <w:rPr>
                <w:rFonts w:ascii="Times New Roman" w:hAnsi="Times New Roman" w:cs="Times New Roman"/>
              </w:rPr>
            </w:pPr>
            <w:r w:rsidRPr="005F0E83">
              <w:rPr>
                <w:rFonts w:ascii="Times New Roman" w:hAnsi="Times New Roman" w:cs="Times New Roman"/>
              </w:rPr>
              <w:t>Земли сельскохозяйственного назначения (Сельскохозяйственное использование) Земельный участок к/н 58:12:0000000:65</w:t>
            </w:r>
          </w:p>
        </w:tc>
        <w:tc>
          <w:tcPr>
            <w:tcW w:w="2636" w:type="dxa"/>
            <w:shd w:val="clear" w:color="auto" w:fill="auto"/>
            <w:noWrap/>
            <w:vAlign w:val="center"/>
            <w:hideMark/>
          </w:tcPr>
          <w:p w:rsidR="00B606BD" w:rsidRPr="00DC6881" w:rsidRDefault="005F0E83" w:rsidP="00B606BD">
            <w:pPr>
              <w:spacing w:after="0" w:line="240" w:lineRule="auto"/>
              <w:jc w:val="center"/>
              <w:rPr>
                <w:rFonts w:ascii="Times New Roman" w:hAnsi="Times New Roman" w:cs="Times New Roman"/>
              </w:rPr>
            </w:pPr>
            <w:r w:rsidRPr="005F0E83">
              <w:rPr>
                <w:rFonts w:ascii="Times New Roman" w:hAnsi="Times New Roman" w:cs="Times New Roman"/>
              </w:rPr>
              <w:t>1.48</w:t>
            </w:r>
          </w:p>
        </w:tc>
      </w:tr>
    </w:tbl>
    <w:p w:rsidR="005E1B0D" w:rsidRDefault="005E1B0D" w:rsidP="004B5AD6">
      <w:pPr>
        <w:pBdr>
          <w:bottom w:val="single" w:sz="12" w:space="1" w:color="auto"/>
        </w:pBdr>
        <w:spacing w:after="0"/>
        <w:rPr>
          <w:rFonts w:ascii="Times New Roman" w:hAnsi="Times New Roman" w:cs="Times New Roman"/>
        </w:rPr>
      </w:pPr>
    </w:p>
    <w:p w:rsidR="00C45E2F" w:rsidRPr="00DC6881" w:rsidRDefault="00C45E2F" w:rsidP="004B5AD6">
      <w:pPr>
        <w:spacing w:after="0"/>
        <w:rPr>
          <w:rFonts w:ascii="Times New Roman" w:hAnsi="Times New Roman" w:cs="Times New Roman"/>
        </w:rPr>
      </w:pPr>
    </w:p>
    <w:p w:rsidR="00A163AF" w:rsidRPr="00DC6881" w:rsidRDefault="005E1B0D" w:rsidP="004B5AD6">
      <w:pPr>
        <w:spacing w:after="0"/>
        <w:rPr>
          <w:rFonts w:ascii="Times New Roman" w:hAnsi="Times New Roman" w:cs="Times New Roman"/>
        </w:rPr>
      </w:pPr>
      <w:r w:rsidRPr="00DC6881">
        <w:rPr>
          <w:rFonts w:ascii="Times New Roman" w:hAnsi="Times New Roman" w:cs="Times New Roman"/>
        </w:rPr>
        <w:t>Раздел 4. Основные инвестиционные риски</w:t>
      </w:r>
    </w:p>
    <w:p w:rsidR="00A163AF" w:rsidRPr="00DC6881" w:rsidRDefault="00A163AF" w:rsidP="004B5AD6">
      <w:pPr>
        <w:spacing w:after="0"/>
        <w:rPr>
          <w:rFonts w:ascii="Times New Roman" w:hAnsi="Times New Roman" w:cs="Times New Roman"/>
        </w:rPr>
      </w:pPr>
    </w:p>
    <w:tbl>
      <w:tblPr>
        <w:tblW w:w="9363" w:type="dxa"/>
        <w:jc w:val="center"/>
        <w:tblLook w:val="04A0" w:firstRow="1" w:lastRow="0" w:firstColumn="1" w:lastColumn="0" w:noHBand="0" w:noVBand="1"/>
      </w:tblPr>
      <w:tblGrid>
        <w:gridCol w:w="3574"/>
        <w:gridCol w:w="2750"/>
        <w:gridCol w:w="3039"/>
      </w:tblGrid>
      <w:tr w:rsidR="00A163AF" w:rsidRPr="00DC6881" w:rsidTr="00A163AF">
        <w:trPr>
          <w:trHeight w:val="913"/>
          <w:jc w:val="center"/>
        </w:trPr>
        <w:tc>
          <w:tcPr>
            <w:tcW w:w="3574" w:type="dxa"/>
            <w:tcBorders>
              <w:top w:val="single" w:sz="8" w:space="0" w:color="auto"/>
              <w:left w:val="single" w:sz="8" w:space="0" w:color="auto"/>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Вид риска</w:t>
            </w:r>
          </w:p>
        </w:tc>
        <w:tc>
          <w:tcPr>
            <w:tcW w:w="2750" w:type="dxa"/>
            <w:tcBorders>
              <w:top w:val="single" w:sz="8" w:space="0" w:color="auto"/>
              <w:left w:val="nil"/>
              <w:bottom w:val="nil"/>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вероятности реализации риска</w:t>
            </w:r>
          </w:p>
        </w:tc>
        <w:tc>
          <w:tcPr>
            <w:tcW w:w="3039" w:type="dxa"/>
            <w:tcBorders>
              <w:top w:val="single" w:sz="8" w:space="0" w:color="auto"/>
              <w:left w:val="nil"/>
              <w:bottom w:val="nil"/>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b/>
              </w:rPr>
            </w:pPr>
            <w:r w:rsidRPr="00DC6881">
              <w:rPr>
                <w:rFonts w:ascii="Times New Roman" w:hAnsi="Times New Roman" w:cs="Times New Roman"/>
                <w:b/>
              </w:rPr>
              <w:t>Оценка объема потерь при реализации риска</w:t>
            </w:r>
          </w:p>
        </w:tc>
      </w:tr>
      <w:tr w:rsidR="00A163AF" w:rsidRPr="00DC6881" w:rsidTr="00A163AF">
        <w:trPr>
          <w:trHeight w:val="451"/>
          <w:jc w:val="center"/>
        </w:trPr>
        <w:tc>
          <w:tcPr>
            <w:tcW w:w="357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Процентный (например, риск снижения процентных ставок по депозитам)</w:t>
            </w:r>
          </w:p>
        </w:tc>
        <w:tc>
          <w:tcPr>
            <w:tcW w:w="2750" w:type="dxa"/>
            <w:tcBorders>
              <w:top w:val="single" w:sz="8" w:space="0" w:color="auto"/>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Pr>
                <w:rFonts w:ascii="Times New Roman" w:hAnsi="Times New Roman" w:cs="Times New Roman"/>
              </w:rPr>
              <w:t>низкая</w:t>
            </w:r>
          </w:p>
        </w:tc>
        <w:tc>
          <w:tcPr>
            <w:tcW w:w="3039" w:type="dxa"/>
            <w:tcBorders>
              <w:top w:val="single" w:sz="8" w:space="0" w:color="auto"/>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5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Кредитный (невыполнение контрагентом платежных обязательств)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A163AF"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r w:rsidR="00A163AF" w:rsidRPr="00DC6881" w:rsidTr="00A163AF">
        <w:trPr>
          <w:trHeight w:val="461"/>
          <w:jc w:val="center"/>
        </w:trPr>
        <w:tc>
          <w:tcPr>
            <w:tcW w:w="3574" w:type="dxa"/>
            <w:tcBorders>
              <w:top w:val="nil"/>
              <w:left w:val="single" w:sz="8" w:space="0" w:color="auto"/>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rPr>
                <w:rFonts w:ascii="Times New Roman" w:hAnsi="Times New Roman" w:cs="Times New Roman"/>
              </w:rPr>
            </w:pPr>
            <w:r w:rsidRPr="00BB64EE">
              <w:rPr>
                <w:rFonts w:ascii="Times New Roman" w:hAnsi="Times New Roman" w:cs="Times New Roman"/>
              </w:rPr>
              <w:t>Рыночный (например, снижение стоимости земельных участков)</w:t>
            </w:r>
          </w:p>
        </w:tc>
        <w:tc>
          <w:tcPr>
            <w:tcW w:w="2750" w:type="dxa"/>
            <w:tcBorders>
              <w:top w:val="nil"/>
              <w:left w:val="nil"/>
              <w:bottom w:val="single" w:sz="4" w:space="0" w:color="auto"/>
              <w:right w:val="single" w:sz="4"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средняя</w:t>
            </w:r>
          </w:p>
        </w:tc>
        <w:tc>
          <w:tcPr>
            <w:tcW w:w="3039" w:type="dxa"/>
            <w:tcBorders>
              <w:top w:val="nil"/>
              <w:left w:val="nil"/>
              <w:bottom w:val="single" w:sz="4" w:space="0" w:color="auto"/>
              <w:right w:val="single" w:sz="8" w:space="0" w:color="auto"/>
            </w:tcBorders>
            <w:shd w:val="clear" w:color="auto" w:fill="auto"/>
            <w:vAlign w:val="center"/>
            <w:hideMark/>
          </w:tcPr>
          <w:p w:rsidR="00A163AF" w:rsidRPr="00DC6881" w:rsidRDefault="00BB64EE" w:rsidP="00A163AF">
            <w:pPr>
              <w:spacing w:after="0" w:line="240" w:lineRule="auto"/>
              <w:jc w:val="center"/>
              <w:rPr>
                <w:rFonts w:ascii="Times New Roman" w:hAnsi="Times New Roman" w:cs="Times New Roman"/>
              </w:rPr>
            </w:pPr>
            <w:r w:rsidRPr="00DC6881">
              <w:rPr>
                <w:rFonts w:ascii="Times New Roman" w:hAnsi="Times New Roman" w:cs="Times New Roman"/>
              </w:rPr>
              <w:t>незначительный</w:t>
            </w:r>
          </w:p>
        </w:tc>
      </w:tr>
    </w:tbl>
    <w:p w:rsidR="00E55279" w:rsidRDefault="00E55279" w:rsidP="004B5AD6">
      <w:pPr>
        <w:pBdr>
          <w:bottom w:val="single" w:sz="12" w:space="1" w:color="auto"/>
        </w:pBdr>
        <w:spacing w:after="0"/>
        <w:rPr>
          <w:rFonts w:ascii="Times New Roman" w:hAnsi="Times New Roman" w:cs="Times New Roman"/>
        </w:rPr>
      </w:pPr>
    </w:p>
    <w:p w:rsidR="00EE1DF8" w:rsidRPr="00DC6881" w:rsidRDefault="005D6F19" w:rsidP="00C45E2F">
      <w:pPr>
        <w:spacing w:before="120" w:after="0"/>
        <w:rPr>
          <w:rFonts w:ascii="Times New Roman" w:hAnsi="Times New Roman" w:cs="Times New Roman"/>
        </w:rPr>
      </w:pPr>
      <w:r w:rsidRPr="00DC6881">
        <w:rPr>
          <w:rFonts w:ascii="Times New Roman" w:hAnsi="Times New Roman" w:cs="Times New Roman"/>
        </w:rPr>
        <w:t>Раздел 5. Основные результаты инвестирования</w:t>
      </w:r>
    </w:p>
    <w:p w:rsidR="000F14CB" w:rsidRPr="00DC6881" w:rsidRDefault="000F14CB" w:rsidP="004B5AD6">
      <w:pPr>
        <w:spacing w:after="0"/>
        <w:rPr>
          <w:rFonts w:ascii="Times New Roman" w:hAnsi="Times New Roman" w:cs="Times New Roman"/>
        </w:rPr>
      </w:pPr>
    </w:p>
    <w:tbl>
      <w:tblPr>
        <w:tblpPr w:leftFromText="180" w:rightFromText="180" w:vertAnchor="page" w:horzAnchor="margin" w:tblpXSpec="right" w:tblpY="7704"/>
        <w:tblW w:w="5382" w:type="dxa"/>
        <w:tblLook w:val="04A0" w:firstRow="1" w:lastRow="0" w:firstColumn="1" w:lastColumn="0" w:noHBand="0" w:noVBand="1"/>
      </w:tblPr>
      <w:tblGrid>
        <w:gridCol w:w="1910"/>
        <w:gridCol w:w="1771"/>
        <w:gridCol w:w="1701"/>
      </w:tblGrid>
      <w:tr w:rsidR="00650792" w:rsidRPr="00DC6881" w:rsidTr="00650792">
        <w:trPr>
          <w:trHeight w:val="320"/>
        </w:trPr>
        <w:tc>
          <w:tcPr>
            <w:tcW w:w="36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Доходность за период, %</w:t>
            </w:r>
          </w:p>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 </w:t>
            </w:r>
          </w:p>
        </w:tc>
        <w:tc>
          <w:tcPr>
            <w:tcW w:w="1701" w:type="dxa"/>
            <w:tcBorders>
              <w:top w:val="single" w:sz="4" w:space="0" w:color="auto"/>
              <w:left w:val="single" w:sz="4" w:space="0" w:color="auto"/>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Отклонение доходности от</w:t>
            </w:r>
          </w:p>
        </w:tc>
      </w:tr>
      <w:tr w:rsidR="00650792" w:rsidRPr="00DC6881" w:rsidTr="00650792">
        <w:trPr>
          <w:trHeight w:val="625"/>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Период</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Доходность %</w:t>
            </w:r>
          </w:p>
        </w:tc>
        <w:tc>
          <w:tcPr>
            <w:tcW w:w="1701" w:type="dxa"/>
            <w:tcBorders>
              <w:top w:val="nil"/>
              <w:left w:val="nil"/>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Инфляции</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bookmarkStart w:id="0" w:name="_GoBack" w:colFirst="2" w:colLast="2"/>
            <w:r w:rsidRPr="00DC6881">
              <w:rPr>
                <w:rFonts w:ascii="Times New Roman" w:hAnsi="Times New Roman" w:cs="Times New Roman"/>
              </w:rPr>
              <w:t>1 месяц</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1.22</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0.40</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3 месяца</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1.96</w:t>
            </w:r>
          </w:p>
        </w:tc>
        <w:tc>
          <w:tcPr>
            <w:tcW w:w="1701" w:type="dxa"/>
            <w:tcBorders>
              <w:top w:val="nil"/>
              <w:left w:val="nil"/>
              <w:bottom w:val="single" w:sz="4" w:space="0" w:color="auto"/>
              <w:right w:val="single" w:sz="4" w:space="0" w:color="auto"/>
            </w:tcBorders>
            <w:vAlign w:val="center"/>
          </w:tcPr>
          <w:p w:rsidR="00650792" w:rsidRPr="00E30CA8" w:rsidRDefault="00DF55E6" w:rsidP="003E5C30">
            <w:pPr>
              <w:spacing w:after="0" w:line="240" w:lineRule="auto"/>
              <w:jc w:val="center"/>
              <w:rPr>
                <w:rFonts w:ascii="Times New Roman" w:hAnsi="Times New Roman" w:cs="Times New Roman"/>
              </w:rPr>
            </w:pPr>
            <w:r>
              <w:rPr>
                <w:rFonts w:ascii="Times New Roman" w:hAnsi="Times New Roman" w:cs="Times New Roman"/>
              </w:rPr>
              <w:t>-0.96</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6 месяцев</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2.78</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-1.25</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1 год</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650792">
            <w:pPr>
              <w:spacing w:after="0" w:line="240" w:lineRule="auto"/>
              <w:jc w:val="center"/>
              <w:rPr>
                <w:rFonts w:ascii="Times New Roman" w:hAnsi="Times New Roman" w:cs="Times New Roman"/>
              </w:rPr>
            </w:pPr>
            <w:r>
              <w:rPr>
                <w:rFonts w:ascii="Times New Roman" w:hAnsi="Times New Roman" w:cs="Times New Roman"/>
              </w:rPr>
              <w:t>14.79</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6.40</w:t>
            </w:r>
          </w:p>
        </w:tc>
      </w:tr>
      <w:tr w:rsidR="00650792" w:rsidRPr="00DC6881" w:rsidTr="00254E09">
        <w:trPr>
          <w:trHeight w:val="320"/>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3 года</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3E5C30" w:rsidP="003E5C30">
            <w:pPr>
              <w:spacing w:after="0" w:line="240" w:lineRule="auto"/>
              <w:jc w:val="center"/>
              <w:rPr>
                <w:rFonts w:ascii="Times New Roman" w:hAnsi="Times New Roman" w:cs="Times New Roman"/>
              </w:rPr>
            </w:pPr>
            <w:r>
              <w:rPr>
                <w:rFonts w:ascii="Times New Roman" w:hAnsi="Times New Roman" w:cs="Times New Roman"/>
              </w:rPr>
              <w:t>-1.32</w:t>
            </w:r>
          </w:p>
        </w:tc>
        <w:tc>
          <w:tcPr>
            <w:tcW w:w="1701" w:type="dxa"/>
            <w:tcBorders>
              <w:top w:val="nil"/>
              <w:left w:val="nil"/>
              <w:bottom w:val="single" w:sz="4" w:space="0" w:color="auto"/>
              <w:right w:val="single" w:sz="4" w:space="0" w:color="auto"/>
            </w:tcBorders>
            <w:vAlign w:val="center"/>
          </w:tcPr>
          <w:p w:rsidR="00650792" w:rsidRPr="00E30CA8" w:rsidRDefault="00DF55E6" w:rsidP="00650792">
            <w:pPr>
              <w:spacing w:after="0" w:line="240" w:lineRule="auto"/>
              <w:jc w:val="center"/>
              <w:rPr>
                <w:rFonts w:ascii="Times New Roman" w:hAnsi="Times New Roman" w:cs="Times New Roman"/>
              </w:rPr>
            </w:pPr>
            <w:r>
              <w:rPr>
                <w:rFonts w:ascii="Times New Roman" w:hAnsi="Times New Roman" w:cs="Times New Roman"/>
              </w:rPr>
              <w:t>-18.50</w:t>
            </w:r>
          </w:p>
        </w:tc>
      </w:tr>
      <w:tr w:rsidR="00650792" w:rsidRPr="00DC6881" w:rsidTr="00254E09">
        <w:trPr>
          <w:trHeight w:val="378"/>
        </w:trPr>
        <w:tc>
          <w:tcPr>
            <w:tcW w:w="1910" w:type="dxa"/>
            <w:tcBorders>
              <w:top w:val="nil"/>
              <w:left w:val="single" w:sz="4" w:space="0" w:color="auto"/>
              <w:bottom w:val="single" w:sz="4" w:space="0" w:color="auto"/>
              <w:right w:val="single" w:sz="4" w:space="0" w:color="auto"/>
            </w:tcBorders>
            <w:shd w:val="clear" w:color="auto" w:fill="auto"/>
            <w:vAlign w:val="center"/>
            <w:hideMark/>
          </w:tcPr>
          <w:p w:rsidR="00650792" w:rsidRPr="00DC6881" w:rsidRDefault="00650792" w:rsidP="00650792">
            <w:pPr>
              <w:spacing w:after="0" w:line="240" w:lineRule="auto"/>
              <w:jc w:val="center"/>
              <w:rPr>
                <w:rFonts w:ascii="Times New Roman" w:hAnsi="Times New Roman" w:cs="Times New Roman"/>
              </w:rPr>
            </w:pPr>
            <w:r w:rsidRPr="00DC6881">
              <w:rPr>
                <w:rFonts w:ascii="Times New Roman" w:hAnsi="Times New Roman" w:cs="Times New Roman"/>
              </w:rPr>
              <w:t>5 лет</w:t>
            </w:r>
          </w:p>
        </w:tc>
        <w:tc>
          <w:tcPr>
            <w:tcW w:w="1771" w:type="dxa"/>
            <w:tcBorders>
              <w:top w:val="nil"/>
              <w:left w:val="nil"/>
              <w:bottom w:val="single" w:sz="4" w:space="0" w:color="auto"/>
              <w:right w:val="single" w:sz="4" w:space="0" w:color="auto"/>
            </w:tcBorders>
            <w:shd w:val="clear" w:color="auto" w:fill="auto"/>
            <w:noWrap/>
            <w:vAlign w:val="center"/>
            <w:hideMark/>
          </w:tcPr>
          <w:p w:rsidR="00650792" w:rsidRPr="00DC6881" w:rsidRDefault="00650792" w:rsidP="00650792">
            <w:pPr>
              <w:spacing w:after="0" w:line="240" w:lineRule="auto"/>
              <w:jc w:val="center"/>
              <w:rPr>
                <w:rFonts w:ascii="Times New Roman" w:hAnsi="Times New Roman" w:cs="Times New Roman"/>
              </w:rPr>
            </w:pPr>
            <w:r>
              <w:rPr>
                <w:rFonts w:ascii="Times New Roman" w:hAnsi="Times New Roman" w:cs="Times New Roman"/>
              </w:rPr>
              <w:t>-</w:t>
            </w:r>
          </w:p>
        </w:tc>
        <w:tc>
          <w:tcPr>
            <w:tcW w:w="1701" w:type="dxa"/>
            <w:tcBorders>
              <w:top w:val="nil"/>
              <w:left w:val="nil"/>
              <w:bottom w:val="single" w:sz="4" w:space="0" w:color="auto"/>
              <w:right w:val="single" w:sz="4" w:space="0" w:color="auto"/>
            </w:tcBorders>
            <w:vAlign w:val="center"/>
          </w:tcPr>
          <w:p w:rsidR="00650792" w:rsidRPr="00DC6881" w:rsidRDefault="00650792" w:rsidP="00650792">
            <w:pPr>
              <w:spacing w:after="0" w:line="240" w:lineRule="auto"/>
              <w:jc w:val="center"/>
              <w:rPr>
                <w:rFonts w:ascii="Times New Roman" w:hAnsi="Times New Roman" w:cs="Times New Roman"/>
              </w:rPr>
            </w:pPr>
            <w:r>
              <w:rPr>
                <w:rFonts w:ascii="Times New Roman" w:hAnsi="Times New Roman" w:cs="Times New Roman"/>
              </w:rPr>
              <w:t>-</w:t>
            </w:r>
          </w:p>
        </w:tc>
      </w:tr>
    </w:tbl>
    <w:bookmarkEnd w:id="0"/>
    <w:p w:rsidR="00DF650D" w:rsidRPr="00DC6881" w:rsidRDefault="00DF650D" w:rsidP="004B5AD6">
      <w:pPr>
        <w:spacing w:after="0"/>
        <w:rPr>
          <w:rFonts w:ascii="Times New Roman" w:hAnsi="Times New Roman" w:cs="Times New Roman"/>
        </w:rPr>
      </w:pPr>
      <w:r w:rsidRPr="00DC6881">
        <w:rPr>
          <w:rFonts w:ascii="Times New Roman" w:hAnsi="Times New Roman" w:cs="Times New Roman"/>
        </w:rPr>
        <w:t xml:space="preserve">    </w:t>
      </w:r>
      <w:r w:rsidR="00F179B8">
        <w:rPr>
          <w:noProof/>
          <w:lang w:eastAsia="ru-RU"/>
        </w:rPr>
        <w:drawing>
          <wp:inline distT="0" distB="0" distL="0" distR="0" wp14:anchorId="0A78FC52" wp14:editId="6406EA2F">
            <wp:extent cx="2545689" cy="1981835"/>
            <wp:effectExtent l="0" t="0" r="762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F14CB" w:rsidRPr="00DC6881" w:rsidRDefault="000F14CB" w:rsidP="004B5AD6">
      <w:pPr>
        <w:spacing w:after="0"/>
        <w:rPr>
          <w:rFonts w:ascii="Times New Roman" w:hAnsi="Times New Roman" w:cs="Times New Roman"/>
        </w:rPr>
      </w:pPr>
    </w:p>
    <w:p w:rsidR="00206B90" w:rsidRPr="00DC6881" w:rsidRDefault="00206B90" w:rsidP="008C2DB4">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Стоимость чистых активов паевого инвестиционного фонда </w:t>
      </w:r>
      <w:r w:rsidR="008C2DB4" w:rsidRPr="008C2DB4">
        <w:rPr>
          <w:rFonts w:ascii="Times New Roman" w:hAnsi="Times New Roman" w:cs="Times New Roman"/>
        </w:rPr>
        <w:t>2</w:t>
      </w:r>
      <w:r w:rsidR="004C1A7F">
        <w:rPr>
          <w:rFonts w:ascii="Times New Roman" w:hAnsi="Times New Roman" w:cs="Times New Roman"/>
        </w:rPr>
        <w:t> 381 627 258.40</w:t>
      </w:r>
      <w:r w:rsidR="00170956" w:rsidRPr="00170956">
        <w:rPr>
          <w:rFonts w:ascii="Times New Roman" w:hAnsi="Times New Roman" w:cs="Times New Roman"/>
        </w:rPr>
        <w:t xml:space="preserve"> </w:t>
      </w:r>
      <w:r w:rsidRPr="00DC6881">
        <w:rPr>
          <w:rFonts w:ascii="Times New Roman" w:hAnsi="Times New Roman" w:cs="Times New Roman"/>
        </w:rPr>
        <w:t>руб.</w:t>
      </w:r>
    </w:p>
    <w:p w:rsidR="008E283C" w:rsidRDefault="00B231C8" w:rsidP="002B1D15">
      <w:pPr>
        <w:pStyle w:val="a5"/>
        <w:numPr>
          <w:ilvl w:val="0"/>
          <w:numId w:val="3"/>
        </w:numPr>
        <w:spacing w:after="0"/>
        <w:ind w:left="357" w:hanging="357"/>
        <w:jc w:val="both"/>
        <w:rPr>
          <w:rFonts w:ascii="Times New Roman" w:hAnsi="Times New Roman" w:cs="Times New Roman"/>
        </w:rPr>
      </w:pPr>
      <w:r w:rsidRPr="00DC6881">
        <w:rPr>
          <w:rFonts w:ascii="Times New Roman" w:hAnsi="Times New Roman" w:cs="Times New Roman"/>
        </w:rPr>
        <w:t xml:space="preserve">Расчетная стоимость инвестиционного пая </w:t>
      </w:r>
      <w:r w:rsidR="004C1A7F">
        <w:rPr>
          <w:rFonts w:ascii="Times New Roman" w:hAnsi="Times New Roman" w:cs="Times New Roman"/>
        </w:rPr>
        <w:t>48.49</w:t>
      </w:r>
      <w:r w:rsidRPr="00DC6881">
        <w:rPr>
          <w:rFonts w:ascii="Times New Roman" w:hAnsi="Times New Roman" w:cs="Times New Roman"/>
        </w:rPr>
        <w:t xml:space="preserve"> руб.</w:t>
      </w:r>
      <w:r w:rsidR="008E283C">
        <w:rPr>
          <w:rFonts w:ascii="Times New Roman" w:hAnsi="Times New Roman" w:cs="Times New Roman"/>
        </w:rPr>
        <w:t xml:space="preserve"> </w:t>
      </w:r>
    </w:p>
    <w:p w:rsidR="001E5789" w:rsidRDefault="00170956" w:rsidP="00170956">
      <w:pPr>
        <w:pStyle w:val="a5"/>
        <w:numPr>
          <w:ilvl w:val="0"/>
          <w:numId w:val="3"/>
        </w:numPr>
        <w:spacing w:after="0"/>
        <w:ind w:left="357" w:hanging="357"/>
        <w:jc w:val="both"/>
        <w:rPr>
          <w:rFonts w:ascii="Times New Roman" w:hAnsi="Times New Roman" w:cs="Times New Roman"/>
        </w:rPr>
      </w:pPr>
      <w:r w:rsidRPr="00170956">
        <w:rPr>
          <w:rFonts w:ascii="Times New Roman" w:hAnsi="Times New Roman" w:cs="Times New Roman"/>
        </w:rPr>
        <w:t>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инвестиционному паю. Указанный список лиц составляется ежеквартально на основании данных реестра владельцев инвестиционных паев фонда по состоянию на последний рабочий день каждого календарного квартала (далее - отчетная дата). Под отчетным периодом понимается календарный квартал.</w:t>
      </w:r>
      <w:r>
        <w:rPr>
          <w:rFonts w:ascii="Times New Roman" w:hAnsi="Times New Roman" w:cs="Times New Roman"/>
        </w:rPr>
        <w:t xml:space="preserve"> </w:t>
      </w:r>
      <w:r w:rsidRPr="00170956">
        <w:rPr>
          <w:rFonts w:ascii="Times New Roman" w:hAnsi="Times New Roman" w:cs="Times New Roman"/>
        </w:rPr>
        <w:t>Доход по инвестиционным паям выплачивается не позднее 30 (Тридцати) календарных дней, следующих за датой составления списка лиц, имеющих право на получение дохода по инвестиционным паям. Промежуточные выплаты инвестиционного дохода в течение отчетного периода не производятся.</w:t>
      </w:r>
      <w:r>
        <w:rPr>
          <w:rFonts w:ascii="Times New Roman" w:hAnsi="Times New Roman" w:cs="Times New Roman"/>
        </w:rPr>
        <w:t xml:space="preserve"> </w:t>
      </w:r>
      <w:r w:rsidRPr="00170956">
        <w:rPr>
          <w:rFonts w:ascii="Times New Roman" w:hAnsi="Times New Roman" w:cs="Times New Roman"/>
        </w:rPr>
        <w:t xml:space="preserve">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 40701810301700000031, открытому в валюте Российской Федерации в ПАО Банк «ФК Открытие» (ОГРН 1027739019208), рассчитанной на дату составления списка лиц, имеющих право на получение дохода по инвестиционным паям. В случае, если результат вычислений по приведенной выше формуле </w:t>
      </w:r>
      <w:r w:rsidRPr="00170956">
        <w:rPr>
          <w:rFonts w:ascii="Times New Roman" w:hAnsi="Times New Roman" w:cs="Times New Roman"/>
        </w:rPr>
        <w:lastRenderedPageBreak/>
        <w:t>принимает нулевое или отрицательное значение, то доход по инвестиционному паю фонда на соответствующую отчетную дату считается равным нулю и не подлежит выплате владельцам инвестиционных паев фонда.</w:t>
      </w:r>
      <w:r>
        <w:rPr>
          <w:rFonts w:ascii="Times New Roman" w:hAnsi="Times New Roman" w:cs="Times New Roman"/>
        </w:rPr>
        <w:t xml:space="preserve"> </w:t>
      </w:r>
      <w:r w:rsidRPr="00170956">
        <w:rPr>
          <w:rFonts w:ascii="Times New Roman" w:hAnsi="Times New Roman" w:cs="Times New Roman"/>
        </w:rPr>
        <w:t>Доход по одному инвестиционному паю равен доходу по инвестиционным паям, деленному на количество инвестиционных паев.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w:t>
      </w:r>
      <w:r>
        <w:rPr>
          <w:rFonts w:ascii="Times New Roman" w:hAnsi="Times New Roman" w:cs="Times New Roman"/>
        </w:rPr>
        <w:t>та для перечисления дохода.</w:t>
      </w:r>
    </w:p>
    <w:p w:rsidR="00170956" w:rsidRPr="00170956" w:rsidRDefault="00170956" w:rsidP="00170956">
      <w:pPr>
        <w:pBdr>
          <w:bottom w:val="single" w:sz="12" w:space="1" w:color="auto"/>
        </w:pBdr>
        <w:spacing w:after="0"/>
        <w:rPr>
          <w:rFonts w:ascii="Times New Roman" w:hAnsi="Times New Roman" w:cs="Times New Roman"/>
        </w:rPr>
      </w:pPr>
    </w:p>
    <w:p w:rsidR="00120040" w:rsidRPr="00DC6881" w:rsidRDefault="00120040" w:rsidP="001E1864">
      <w:pPr>
        <w:autoSpaceDE w:val="0"/>
        <w:autoSpaceDN w:val="0"/>
        <w:adjustRightInd w:val="0"/>
        <w:spacing w:before="120" w:after="0" w:line="240" w:lineRule="auto"/>
        <w:ind w:left="426" w:hanging="426"/>
        <w:jc w:val="both"/>
        <w:rPr>
          <w:rFonts w:ascii="Times New Roman" w:hAnsi="Times New Roman" w:cs="Times New Roman"/>
        </w:rPr>
      </w:pPr>
      <w:r w:rsidRPr="00DC6881">
        <w:rPr>
          <w:rFonts w:ascii="Times New Roman" w:hAnsi="Times New Roman" w:cs="Times New Roman"/>
        </w:rPr>
        <w:t>Раздел 6. Комиссии</w:t>
      </w:r>
    </w:p>
    <w:p w:rsidR="00120040" w:rsidRPr="00DC6881" w:rsidRDefault="00120040" w:rsidP="001E1864">
      <w:pPr>
        <w:spacing w:after="0"/>
        <w:ind w:left="426" w:hanging="426"/>
        <w:rPr>
          <w:rFonts w:ascii="Times New Roman" w:hAnsi="Times New Roman" w:cs="Times New Roman"/>
        </w:rPr>
      </w:pPr>
    </w:p>
    <w:p w:rsidR="001E1864" w:rsidRPr="001E1864" w:rsidRDefault="00E174F3" w:rsidP="001E1864">
      <w:pPr>
        <w:pStyle w:val="a5"/>
        <w:numPr>
          <w:ilvl w:val="0"/>
          <w:numId w:val="14"/>
        </w:numPr>
        <w:pBdr>
          <w:bottom w:val="single" w:sz="12" w:space="1" w:color="auto"/>
        </w:pBdr>
        <w:spacing w:after="0"/>
        <w:ind w:left="426" w:hanging="426"/>
      </w:pPr>
      <w:r w:rsidRPr="001E1864">
        <w:rPr>
          <w:rFonts w:ascii="Times New Roman" w:hAnsi="Times New Roman" w:cs="Times New Roman"/>
        </w:rPr>
        <w:t>За счет имущества, составляющего Фонд, выплачиваются вознаграждения У</w:t>
      </w:r>
      <w:r w:rsidR="00C4737C">
        <w:rPr>
          <w:rFonts w:ascii="Times New Roman" w:hAnsi="Times New Roman" w:cs="Times New Roman"/>
        </w:rPr>
        <w:t>правляющей компании в размере 0.</w:t>
      </w:r>
      <w:r w:rsidR="00A74CE5">
        <w:rPr>
          <w:rFonts w:ascii="Times New Roman" w:hAnsi="Times New Roman" w:cs="Times New Roman"/>
        </w:rPr>
        <w:t>35 (Н</w:t>
      </w:r>
      <w:r w:rsidRPr="001E1864">
        <w:rPr>
          <w:rFonts w:ascii="Times New Roman" w:hAnsi="Times New Roman" w:cs="Times New Roman"/>
        </w:rPr>
        <w:t>оль целых тридцать пять сотых) процента среднегодовой стоимости чистых активов Фонда, а также Специализированному депозитарию, Регистратору, Аудиторской организации и</w:t>
      </w:r>
      <w:r w:rsidR="0023625B">
        <w:rPr>
          <w:rFonts w:ascii="Times New Roman" w:hAnsi="Times New Roman" w:cs="Times New Roman"/>
        </w:rPr>
        <w:t xml:space="preserve"> Оценщикам в размере не более </w:t>
      </w:r>
      <w:r w:rsidR="0023625B" w:rsidRPr="0023625B">
        <w:rPr>
          <w:rFonts w:ascii="Times New Roman" w:hAnsi="Times New Roman" w:cs="Times New Roman"/>
        </w:rPr>
        <w:t>0</w:t>
      </w:r>
      <w:r w:rsidR="00C4737C">
        <w:rPr>
          <w:rFonts w:ascii="Times New Roman" w:hAnsi="Times New Roman" w:cs="Times New Roman"/>
        </w:rPr>
        <w:t>.</w:t>
      </w:r>
      <w:r w:rsidR="0023625B" w:rsidRPr="0023625B">
        <w:rPr>
          <w:rFonts w:ascii="Times New Roman" w:hAnsi="Times New Roman" w:cs="Times New Roman"/>
        </w:rPr>
        <w:t>5</w:t>
      </w:r>
      <w:r w:rsidR="0023625B">
        <w:rPr>
          <w:rFonts w:ascii="Times New Roman" w:hAnsi="Times New Roman" w:cs="Times New Roman"/>
        </w:rPr>
        <w:t xml:space="preserve"> (Ноль целых пять десятых</w:t>
      </w:r>
      <w:r w:rsidRPr="001E1864">
        <w:rPr>
          <w:rFonts w:ascii="Times New Roman" w:hAnsi="Times New Roman" w:cs="Times New Roman"/>
        </w:rPr>
        <w:t xml:space="preserve">) </w:t>
      </w:r>
      <w:r w:rsidR="0023625B">
        <w:rPr>
          <w:rFonts w:ascii="Times New Roman" w:hAnsi="Times New Roman" w:cs="Times New Roman"/>
        </w:rPr>
        <w:t xml:space="preserve">процента </w:t>
      </w:r>
      <w:r w:rsidRPr="001E1864">
        <w:rPr>
          <w:rFonts w:ascii="Times New Roman" w:hAnsi="Times New Roman" w:cs="Times New Roman"/>
        </w:rPr>
        <w:t>среднегодовой стоимости чистых активов Фонда.</w:t>
      </w:r>
      <w:r w:rsidR="00FF3F73">
        <w:rPr>
          <w:rFonts w:ascii="Times New Roman" w:hAnsi="Times New Roman" w:cs="Times New Roman"/>
        </w:rPr>
        <w:t xml:space="preserve"> </w:t>
      </w:r>
      <w:r w:rsidR="00FF3F73" w:rsidRPr="00214A7B">
        <w:rPr>
          <w:rFonts w:ascii="Times New Roman" w:hAnsi="Times New Roman" w:cs="Times New Roman"/>
        </w:rPr>
        <w:t>Сумма вознаг</w:t>
      </w:r>
      <w:r w:rsidR="00764450">
        <w:rPr>
          <w:rFonts w:ascii="Times New Roman" w:hAnsi="Times New Roman" w:cs="Times New Roman"/>
        </w:rPr>
        <w:t>раждений управляющей компании, С</w:t>
      </w:r>
      <w:r w:rsidR="00FF3F73" w:rsidRPr="00214A7B">
        <w:rPr>
          <w:rFonts w:ascii="Times New Roman" w:hAnsi="Times New Roman" w:cs="Times New Roman"/>
        </w:rPr>
        <w:t>п</w:t>
      </w:r>
      <w:r w:rsidR="00764450">
        <w:rPr>
          <w:rFonts w:ascii="Times New Roman" w:hAnsi="Times New Roman" w:cs="Times New Roman"/>
        </w:rPr>
        <w:t>ециализированного депозитария, Р</w:t>
      </w:r>
      <w:r w:rsidR="00FF3F73" w:rsidRPr="00214A7B">
        <w:rPr>
          <w:rFonts w:ascii="Times New Roman" w:hAnsi="Times New Roman" w:cs="Times New Roman"/>
        </w:rPr>
        <w:t>егис</w:t>
      </w:r>
      <w:r w:rsidR="00764450">
        <w:rPr>
          <w:rFonts w:ascii="Times New Roman" w:hAnsi="Times New Roman" w:cs="Times New Roman"/>
        </w:rPr>
        <w:t>тратора, Аудитора и Оценщика</w:t>
      </w:r>
      <w:r w:rsidR="00FF3F73" w:rsidRPr="00214A7B">
        <w:rPr>
          <w:rFonts w:ascii="Times New Roman" w:hAnsi="Times New Roman" w:cs="Times New Roman"/>
        </w:rPr>
        <w:t>, выплачиваемая за</w:t>
      </w:r>
      <w:r w:rsidR="00764450">
        <w:rPr>
          <w:rFonts w:ascii="Times New Roman" w:hAnsi="Times New Roman" w:cs="Times New Roman"/>
        </w:rPr>
        <w:t xml:space="preserve"> счет имущества, составляющего Ф</w:t>
      </w:r>
      <w:r w:rsidR="00FF3F73" w:rsidRPr="00214A7B">
        <w:rPr>
          <w:rFonts w:ascii="Times New Roman" w:hAnsi="Times New Roman" w:cs="Times New Roman"/>
        </w:rPr>
        <w:t xml:space="preserve">онд, не должна превышать 10 (Десять) процентов среднегодовой </w:t>
      </w:r>
      <w:r w:rsidR="00FF3F73">
        <w:rPr>
          <w:rFonts w:ascii="Times New Roman" w:hAnsi="Times New Roman" w:cs="Times New Roman"/>
        </w:rPr>
        <w:t xml:space="preserve">стоимости чистых активов </w:t>
      </w:r>
      <w:r w:rsidR="00764450">
        <w:rPr>
          <w:rFonts w:ascii="Times New Roman" w:hAnsi="Times New Roman" w:cs="Times New Roman"/>
        </w:rPr>
        <w:t>Ф</w:t>
      </w:r>
      <w:r w:rsidR="00FF3F73" w:rsidRPr="00214A7B">
        <w:rPr>
          <w:rFonts w:ascii="Times New Roman" w:hAnsi="Times New Roman" w:cs="Times New Roman"/>
        </w:rPr>
        <w:t>онда</w:t>
      </w:r>
      <w:r w:rsidR="00764450">
        <w:rPr>
          <w:rFonts w:ascii="Times New Roman" w:hAnsi="Times New Roman" w:cs="Times New Roman"/>
        </w:rPr>
        <w:t>.</w:t>
      </w:r>
    </w:p>
    <w:p w:rsidR="001E1864" w:rsidRPr="001E1864" w:rsidRDefault="001E1864" w:rsidP="001E1864">
      <w:pPr>
        <w:pBdr>
          <w:bottom w:val="single" w:sz="12" w:space="1" w:color="auto"/>
        </w:pBdr>
        <w:spacing w:after="0"/>
      </w:pPr>
    </w:p>
    <w:p w:rsidR="00B40149" w:rsidRPr="00DC6881" w:rsidRDefault="00B40149" w:rsidP="001F7ADA">
      <w:pPr>
        <w:autoSpaceDE w:val="0"/>
        <w:autoSpaceDN w:val="0"/>
        <w:adjustRightInd w:val="0"/>
        <w:spacing w:before="120" w:after="0" w:line="240" w:lineRule="auto"/>
        <w:jc w:val="both"/>
        <w:rPr>
          <w:rFonts w:ascii="Times New Roman" w:hAnsi="Times New Roman" w:cs="Times New Roman"/>
        </w:rPr>
      </w:pPr>
      <w:r w:rsidRPr="00DC6881">
        <w:rPr>
          <w:rFonts w:ascii="Times New Roman" w:hAnsi="Times New Roman" w:cs="Times New Roman"/>
        </w:rPr>
        <w:t xml:space="preserve">Раздел 7. </w:t>
      </w:r>
      <w:r w:rsidR="00734072" w:rsidRPr="00DC6881">
        <w:rPr>
          <w:rFonts w:ascii="Times New Roman" w:hAnsi="Times New Roman" w:cs="Times New Roman"/>
        </w:rPr>
        <w:t>Иная информация</w:t>
      </w:r>
    </w:p>
    <w:p w:rsidR="00734072" w:rsidRPr="00DC6881" w:rsidRDefault="00734072" w:rsidP="00B40149">
      <w:pPr>
        <w:autoSpaceDE w:val="0"/>
        <w:autoSpaceDN w:val="0"/>
        <w:adjustRightInd w:val="0"/>
        <w:spacing w:after="0" w:line="240" w:lineRule="auto"/>
        <w:jc w:val="both"/>
        <w:rPr>
          <w:rFonts w:ascii="Times New Roman" w:hAnsi="Times New Roman" w:cs="Times New Roman"/>
        </w:rPr>
      </w:pPr>
    </w:p>
    <w:p w:rsidR="00734072" w:rsidRPr="00DC6881" w:rsidRDefault="00DC155C" w:rsidP="001E1864">
      <w:pPr>
        <w:pStyle w:val="a5"/>
        <w:numPr>
          <w:ilvl w:val="0"/>
          <w:numId w:val="7"/>
        </w:numPr>
        <w:spacing w:after="0" w:line="240" w:lineRule="auto"/>
        <w:ind w:left="357" w:hanging="357"/>
        <w:jc w:val="both"/>
        <w:rPr>
          <w:rFonts w:ascii="Times New Roman" w:hAnsi="Times New Roman" w:cs="Times New Roman"/>
        </w:rPr>
      </w:pPr>
      <w:r>
        <w:rPr>
          <w:rFonts w:ascii="Times New Roman" w:hAnsi="Times New Roman" w:cs="Times New Roman"/>
        </w:rPr>
        <w:t>Д</w:t>
      </w:r>
      <w:r w:rsidR="004514DE" w:rsidRPr="004514DE">
        <w:rPr>
          <w:rFonts w:ascii="Times New Roman" w:hAnsi="Times New Roman" w:cs="Times New Roman"/>
        </w:rPr>
        <w:t>о завершения формирования Фонда выдача одного инвестиционного пая осуществляется на сумму 100 000 (Сто тысяч) рублей. Выдача инвестиционных паев при формировании Фонда осуществляется при условии передачи в их оплату денежных средств в размере и (или) иного имущества стоимостью не менее 500 000 (Пятьсот тысяч) рублей</w:t>
      </w:r>
      <w:r w:rsidR="00734072" w:rsidRPr="00DC6881">
        <w:rPr>
          <w:rFonts w:ascii="Times New Roman" w:hAnsi="Times New Roman" w:cs="Times New Roman"/>
        </w:rPr>
        <w:t>.</w:t>
      </w:r>
      <w:r w:rsidR="004514DE">
        <w:rPr>
          <w:rFonts w:ascii="Times New Roman" w:hAnsi="Times New Roman" w:cs="Times New Roman"/>
        </w:rPr>
        <w:t xml:space="preserve"> </w:t>
      </w:r>
      <w:r w:rsidR="004514DE" w:rsidRPr="004514DE">
        <w:rPr>
          <w:rFonts w:ascii="Times New Roman" w:hAnsi="Times New Roman" w:cs="Times New Roman"/>
        </w:rPr>
        <w:t>Выдача дополнительных инвестиционных паев осуществляется при условии передачи в их оплату денежных средств в размере и (или) имущества стоимостью не менее 30 000 (Тридцать тысяч) рублей.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Правила доверительного управления паевым инвести</w:t>
      </w:r>
      <w:r w:rsidR="007855CF">
        <w:rPr>
          <w:rFonts w:ascii="Times New Roman" w:hAnsi="Times New Roman" w:cs="Times New Roman"/>
        </w:rPr>
        <w:t xml:space="preserve">ционным фондом зарегистрированы </w:t>
      </w:r>
      <w:r w:rsidR="00721FBD" w:rsidRPr="00721FBD">
        <w:rPr>
          <w:rFonts w:ascii="Times New Roman" w:hAnsi="Times New Roman" w:cs="Times New Roman"/>
        </w:rPr>
        <w:t>26.01.2006 N 0464-93295436</w:t>
      </w:r>
      <w:r w:rsidRPr="00DC6881">
        <w:rPr>
          <w:rFonts w:ascii="Times New Roman" w:hAnsi="Times New Roman" w:cs="Times New Roman"/>
        </w:rPr>
        <w:t>.</w:t>
      </w:r>
    </w:p>
    <w:p w:rsidR="00F65E19" w:rsidRPr="00DC6881" w:rsidRDefault="00F65E19" w:rsidP="00721FBD">
      <w:pPr>
        <w:pStyle w:val="a5"/>
        <w:numPr>
          <w:ilvl w:val="0"/>
          <w:numId w:val="7"/>
        </w:numPr>
        <w:spacing w:after="0" w:line="240" w:lineRule="auto"/>
        <w:ind w:left="357" w:hanging="357"/>
        <w:jc w:val="both"/>
        <w:rPr>
          <w:rFonts w:ascii="Times New Roman" w:hAnsi="Times New Roman" w:cs="Times New Roman"/>
        </w:rPr>
      </w:pPr>
      <w:r w:rsidRPr="00DC6881">
        <w:rPr>
          <w:rFonts w:ascii="Times New Roman" w:hAnsi="Times New Roman" w:cs="Times New Roman"/>
        </w:rPr>
        <w:t>Паевой ин</w:t>
      </w:r>
      <w:r w:rsidR="007855CF">
        <w:rPr>
          <w:rFonts w:ascii="Times New Roman" w:hAnsi="Times New Roman" w:cs="Times New Roman"/>
        </w:rPr>
        <w:t xml:space="preserve">вестиционный фонд сформирован </w:t>
      </w:r>
      <w:r w:rsidR="00721FBD" w:rsidRPr="00721FBD">
        <w:rPr>
          <w:rFonts w:ascii="Times New Roman" w:hAnsi="Times New Roman" w:cs="Times New Roman"/>
        </w:rPr>
        <w:t>27.04.2007</w:t>
      </w:r>
      <w:r w:rsidR="00721FBD">
        <w:rPr>
          <w:rFonts w:ascii="Times New Roman" w:hAnsi="Times New Roman" w:cs="Times New Roman"/>
        </w:rPr>
        <w:t xml:space="preserve"> </w:t>
      </w:r>
      <w:r w:rsidRPr="00DC6881">
        <w:rPr>
          <w:rFonts w:ascii="Times New Roman" w:hAnsi="Times New Roman" w:cs="Times New Roman"/>
        </w:rPr>
        <w:t>года.</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Информацию, подлежащую раскрытию и предоставлению, можно получить на сайте www.am-navigator.ru, а также по адресу управляющей компании.</w:t>
      </w:r>
    </w:p>
    <w:p w:rsidR="009B4EE8" w:rsidRPr="00DC6881" w:rsidRDefault="009B4EE8"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 xml:space="preserve">Управляющая компания ООО «УК «Навигатор», лицензия N 21-000-1-00102, сайт www.am-navigator.ru, телефон 8 (495) 213 18 37, адрес 129110, г. Москва, ул. Гиляровского, д. 39, стр. 3, </w:t>
      </w:r>
      <w:proofErr w:type="spellStart"/>
      <w:r w:rsidRPr="00DC6881">
        <w:rPr>
          <w:rFonts w:ascii="Times New Roman" w:hAnsi="Times New Roman" w:cs="Times New Roman"/>
        </w:rPr>
        <w:t>эт</w:t>
      </w:r>
      <w:proofErr w:type="spellEnd"/>
      <w:r w:rsidRPr="00DC6881">
        <w:rPr>
          <w:rFonts w:ascii="Times New Roman" w:hAnsi="Times New Roman" w:cs="Times New Roman"/>
        </w:rPr>
        <w:t>. 8, ком. 4.</w:t>
      </w:r>
    </w:p>
    <w:p w:rsidR="008219D1" w:rsidRDefault="00721FBD" w:rsidP="008219D1">
      <w:pPr>
        <w:pStyle w:val="a5"/>
        <w:numPr>
          <w:ilvl w:val="0"/>
          <w:numId w:val="7"/>
        </w:numPr>
        <w:spacing w:after="0"/>
        <w:ind w:left="357" w:hanging="357"/>
        <w:jc w:val="both"/>
        <w:rPr>
          <w:rFonts w:ascii="Times New Roman" w:hAnsi="Times New Roman" w:cs="Times New Roman"/>
        </w:rPr>
      </w:pPr>
      <w:r w:rsidRPr="00721FBD">
        <w:rPr>
          <w:rFonts w:ascii="Times New Roman" w:hAnsi="Times New Roman" w:cs="Times New Roman"/>
        </w:rPr>
        <w:t xml:space="preserve">Специализированный депозитарий ЗАО "ПРСД", сайт </w:t>
      </w:r>
      <w:hyperlink r:id="rId7" w:history="1">
        <w:r w:rsidR="008219D1" w:rsidRPr="00E5678C">
          <w:rPr>
            <w:rStyle w:val="a4"/>
            <w:rFonts w:ascii="Times New Roman" w:hAnsi="Times New Roman" w:cs="Times New Roman"/>
          </w:rPr>
          <w:t>www.frsd.ru</w:t>
        </w:r>
      </w:hyperlink>
      <w:r w:rsidRPr="00721FBD">
        <w:rPr>
          <w:rFonts w:ascii="Times New Roman" w:hAnsi="Times New Roman" w:cs="Times New Roman"/>
        </w:rPr>
        <w:t>.</w:t>
      </w:r>
    </w:p>
    <w:p w:rsidR="00746CDF" w:rsidRPr="008219D1" w:rsidRDefault="008219D1" w:rsidP="008219D1">
      <w:pPr>
        <w:pStyle w:val="a5"/>
        <w:numPr>
          <w:ilvl w:val="0"/>
          <w:numId w:val="7"/>
        </w:numPr>
        <w:spacing w:after="0"/>
        <w:ind w:left="357" w:hanging="357"/>
        <w:jc w:val="both"/>
        <w:rPr>
          <w:rFonts w:ascii="Times New Roman" w:hAnsi="Times New Roman" w:cs="Times New Roman"/>
        </w:rPr>
      </w:pPr>
      <w:r w:rsidRPr="008219D1">
        <w:rPr>
          <w:rFonts w:ascii="Times New Roman" w:hAnsi="Times New Roman" w:cs="Times New Roman"/>
        </w:rPr>
        <w:t>Лицо, осуществляющее ведение реестра владельцев инвестиционных паев</w:t>
      </w:r>
      <w:r w:rsidR="00721FBD" w:rsidRPr="008219D1">
        <w:rPr>
          <w:rFonts w:ascii="Times New Roman" w:hAnsi="Times New Roman" w:cs="Times New Roman"/>
        </w:rPr>
        <w:t xml:space="preserve"> ЗАО "ПРСД", сайт </w:t>
      </w:r>
      <w:hyperlink r:id="rId8" w:history="1">
        <w:r w:rsidRPr="00E5678C">
          <w:rPr>
            <w:rStyle w:val="a4"/>
            <w:rFonts w:ascii="Times New Roman" w:hAnsi="Times New Roman" w:cs="Times New Roman"/>
          </w:rPr>
          <w:t>www.frsd.ru</w:t>
        </w:r>
      </w:hyperlink>
      <w:r w:rsidR="00746CDF" w:rsidRPr="008219D1">
        <w:rPr>
          <w:rFonts w:ascii="Times New Roman" w:hAnsi="Times New Roman" w:cs="Times New Roman"/>
        </w:rPr>
        <w:t>.</w:t>
      </w:r>
      <w:r>
        <w:rPr>
          <w:rFonts w:ascii="Times New Roman" w:hAnsi="Times New Roman" w:cs="Times New Roman"/>
        </w:rPr>
        <w:t xml:space="preserve"> </w:t>
      </w:r>
    </w:p>
    <w:p w:rsidR="00746CDF" w:rsidRPr="00DC6881" w:rsidRDefault="00823043" w:rsidP="001F7ADA">
      <w:pPr>
        <w:pStyle w:val="a5"/>
        <w:numPr>
          <w:ilvl w:val="0"/>
          <w:numId w:val="7"/>
        </w:numPr>
        <w:spacing w:after="0"/>
        <w:ind w:left="357" w:hanging="357"/>
        <w:jc w:val="both"/>
        <w:rPr>
          <w:rFonts w:ascii="Times New Roman" w:hAnsi="Times New Roman" w:cs="Times New Roman"/>
        </w:rPr>
      </w:pPr>
      <w:r w:rsidRPr="00DC6881">
        <w:rPr>
          <w:rFonts w:ascii="Times New Roman" w:hAnsi="Times New Roman" w:cs="Times New Roman"/>
        </w:rPr>
        <w:t>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"Об инвестиционных фондах" осуществляет Банк России, сайт www.cbr.ru, номер телефона 8 (800) 300-30-00.</w:t>
      </w:r>
    </w:p>
    <w:sectPr w:rsidR="00746CDF" w:rsidRPr="00DC6881" w:rsidSect="00DC6881">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C23E3"/>
    <w:multiLevelType w:val="hybridMultilevel"/>
    <w:tmpl w:val="5C92D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1C2FA9"/>
    <w:multiLevelType w:val="hybridMultilevel"/>
    <w:tmpl w:val="E2405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0D6A6D"/>
    <w:multiLevelType w:val="hybridMultilevel"/>
    <w:tmpl w:val="059A6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976611"/>
    <w:multiLevelType w:val="multilevel"/>
    <w:tmpl w:val="CBA86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77BC4"/>
    <w:multiLevelType w:val="hybridMultilevel"/>
    <w:tmpl w:val="B97EA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6A0B22"/>
    <w:multiLevelType w:val="hybridMultilevel"/>
    <w:tmpl w:val="236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AA056E"/>
    <w:multiLevelType w:val="hybridMultilevel"/>
    <w:tmpl w:val="47F4C5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175F0"/>
    <w:multiLevelType w:val="multilevel"/>
    <w:tmpl w:val="B622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1630BF"/>
    <w:multiLevelType w:val="hybridMultilevel"/>
    <w:tmpl w:val="A672120A"/>
    <w:lvl w:ilvl="0" w:tplc="7EF86A22">
      <w:start w:val="1"/>
      <w:numFmt w:val="decimal"/>
      <w:lvlText w:val="%1."/>
      <w:lvlJc w:val="left"/>
      <w:pPr>
        <w:ind w:left="720" w:hanging="360"/>
      </w:pPr>
      <w:rPr>
        <w:rFonts w:ascii="Times New Roman" w:eastAsiaTheme="minorHAnsi" w:hAnsi="Times New Roman" w:cs="Times New Roman"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E7A1D56"/>
    <w:multiLevelType w:val="hybridMultilevel"/>
    <w:tmpl w:val="CC1A74DA"/>
    <w:lvl w:ilvl="0" w:tplc="3864E59A">
      <w:start w:val="1"/>
      <w:numFmt w:val="decimal"/>
      <w:lvlText w:val="%1."/>
      <w:lvlJc w:val="left"/>
      <w:pPr>
        <w:ind w:left="720" w:hanging="360"/>
      </w:pPr>
      <w:rPr>
        <w:rFonts w:asciiTheme="minorHAnsi" w:eastAsiaTheme="minorHAnsi" w:hAnsi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FDE5A27"/>
    <w:multiLevelType w:val="hybridMultilevel"/>
    <w:tmpl w:val="4D44B4D4"/>
    <w:lvl w:ilvl="0" w:tplc="548046E6">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768065AB"/>
    <w:multiLevelType w:val="hybridMultilevel"/>
    <w:tmpl w:val="9D74FAF0"/>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EB7694"/>
    <w:multiLevelType w:val="hybridMultilevel"/>
    <w:tmpl w:val="D86891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67571A"/>
    <w:multiLevelType w:val="hybridMultilevel"/>
    <w:tmpl w:val="8FBCC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3"/>
  </w:num>
  <w:num w:numId="3">
    <w:abstractNumId w:val="4"/>
  </w:num>
  <w:num w:numId="4">
    <w:abstractNumId w:val="2"/>
  </w:num>
  <w:num w:numId="5">
    <w:abstractNumId w:val="0"/>
  </w:num>
  <w:num w:numId="6">
    <w:abstractNumId w:val="3"/>
  </w:num>
  <w:num w:numId="7">
    <w:abstractNumId w:val="8"/>
  </w:num>
  <w:num w:numId="8">
    <w:abstractNumId w:val="7"/>
  </w:num>
  <w:num w:numId="9">
    <w:abstractNumId w:val="12"/>
  </w:num>
  <w:num w:numId="10">
    <w:abstractNumId w:val="10"/>
  </w:num>
  <w:num w:numId="11">
    <w:abstractNumId w:val="1"/>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AD6"/>
    <w:rsid w:val="0002200E"/>
    <w:rsid w:val="000255A7"/>
    <w:rsid w:val="00027B50"/>
    <w:rsid w:val="00034F71"/>
    <w:rsid w:val="00071F9D"/>
    <w:rsid w:val="000914C1"/>
    <w:rsid w:val="000A4714"/>
    <w:rsid w:val="000F14CB"/>
    <w:rsid w:val="00120040"/>
    <w:rsid w:val="00126C50"/>
    <w:rsid w:val="001463C5"/>
    <w:rsid w:val="00170956"/>
    <w:rsid w:val="00182E71"/>
    <w:rsid w:val="001A09C3"/>
    <w:rsid w:val="001A676B"/>
    <w:rsid w:val="001B72AB"/>
    <w:rsid w:val="001C5D10"/>
    <w:rsid w:val="001C66AE"/>
    <w:rsid w:val="001E1864"/>
    <w:rsid w:val="001E5789"/>
    <w:rsid w:val="001F7ADA"/>
    <w:rsid w:val="00203BAC"/>
    <w:rsid w:val="00206B90"/>
    <w:rsid w:val="0023625B"/>
    <w:rsid w:val="00254E09"/>
    <w:rsid w:val="002A677F"/>
    <w:rsid w:val="002B1D15"/>
    <w:rsid w:val="002D21DE"/>
    <w:rsid w:val="002E39BE"/>
    <w:rsid w:val="002E586B"/>
    <w:rsid w:val="003300B7"/>
    <w:rsid w:val="003502F9"/>
    <w:rsid w:val="003531F8"/>
    <w:rsid w:val="00356853"/>
    <w:rsid w:val="00363F20"/>
    <w:rsid w:val="00371B38"/>
    <w:rsid w:val="00372EDE"/>
    <w:rsid w:val="003A2EDF"/>
    <w:rsid w:val="003A48A9"/>
    <w:rsid w:val="003D6EB9"/>
    <w:rsid w:val="003E5C30"/>
    <w:rsid w:val="003F11DC"/>
    <w:rsid w:val="00443490"/>
    <w:rsid w:val="004514DE"/>
    <w:rsid w:val="00466BBE"/>
    <w:rsid w:val="004A0ABA"/>
    <w:rsid w:val="004A5F5B"/>
    <w:rsid w:val="004A7617"/>
    <w:rsid w:val="004B5AD6"/>
    <w:rsid w:val="004B7D7E"/>
    <w:rsid w:val="004C1A7F"/>
    <w:rsid w:val="00542670"/>
    <w:rsid w:val="005538D9"/>
    <w:rsid w:val="00572DEF"/>
    <w:rsid w:val="005944D7"/>
    <w:rsid w:val="005D6F19"/>
    <w:rsid w:val="005E1B0D"/>
    <w:rsid w:val="005E72DE"/>
    <w:rsid w:val="005F0E83"/>
    <w:rsid w:val="00642760"/>
    <w:rsid w:val="00646AE3"/>
    <w:rsid w:val="00650792"/>
    <w:rsid w:val="00721FBD"/>
    <w:rsid w:val="00734072"/>
    <w:rsid w:val="00746CDF"/>
    <w:rsid w:val="00764450"/>
    <w:rsid w:val="007855CF"/>
    <w:rsid w:val="007C1A75"/>
    <w:rsid w:val="007E3BC6"/>
    <w:rsid w:val="007F7E09"/>
    <w:rsid w:val="00803846"/>
    <w:rsid w:val="008219D1"/>
    <w:rsid w:val="00821E81"/>
    <w:rsid w:val="00823043"/>
    <w:rsid w:val="0083427C"/>
    <w:rsid w:val="00860AED"/>
    <w:rsid w:val="00882138"/>
    <w:rsid w:val="008876AF"/>
    <w:rsid w:val="008B2941"/>
    <w:rsid w:val="008C2DB4"/>
    <w:rsid w:val="008E283C"/>
    <w:rsid w:val="008F6F31"/>
    <w:rsid w:val="009257B9"/>
    <w:rsid w:val="00925DE2"/>
    <w:rsid w:val="009332BF"/>
    <w:rsid w:val="009374E5"/>
    <w:rsid w:val="00947B57"/>
    <w:rsid w:val="0096446D"/>
    <w:rsid w:val="009938F3"/>
    <w:rsid w:val="009B237B"/>
    <w:rsid w:val="009B489A"/>
    <w:rsid w:val="009B4EE8"/>
    <w:rsid w:val="009E2061"/>
    <w:rsid w:val="00A03E95"/>
    <w:rsid w:val="00A05C24"/>
    <w:rsid w:val="00A163AF"/>
    <w:rsid w:val="00A34510"/>
    <w:rsid w:val="00A6551F"/>
    <w:rsid w:val="00A74CE5"/>
    <w:rsid w:val="00A9024D"/>
    <w:rsid w:val="00AA0E46"/>
    <w:rsid w:val="00AA56D2"/>
    <w:rsid w:val="00AD3C27"/>
    <w:rsid w:val="00AF00F2"/>
    <w:rsid w:val="00B053A3"/>
    <w:rsid w:val="00B231C8"/>
    <w:rsid w:val="00B40149"/>
    <w:rsid w:val="00B606BD"/>
    <w:rsid w:val="00B934D6"/>
    <w:rsid w:val="00BB64EE"/>
    <w:rsid w:val="00BB7D74"/>
    <w:rsid w:val="00BC2931"/>
    <w:rsid w:val="00BE63FF"/>
    <w:rsid w:val="00BF6C4E"/>
    <w:rsid w:val="00C148E6"/>
    <w:rsid w:val="00C27C00"/>
    <w:rsid w:val="00C45E2F"/>
    <w:rsid w:val="00C4737C"/>
    <w:rsid w:val="00C64B23"/>
    <w:rsid w:val="00C9036F"/>
    <w:rsid w:val="00C94C8C"/>
    <w:rsid w:val="00CB5244"/>
    <w:rsid w:val="00D00F20"/>
    <w:rsid w:val="00D11B91"/>
    <w:rsid w:val="00DB4167"/>
    <w:rsid w:val="00DC155C"/>
    <w:rsid w:val="00DC6881"/>
    <w:rsid w:val="00DD08D1"/>
    <w:rsid w:val="00DD0F8F"/>
    <w:rsid w:val="00DF55E6"/>
    <w:rsid w:val="00DF650D"/>
    <w:rsid w:val="00E00364"/>
    <w:rsid w:val="00E174F3"/>
    <w:rsid w:val="00E30CA8"/>
    <w:rsid w:val="00E55279"/>
    <w:rsid w:val="00E61D6B"/>
    <w:rsid w:val="00EB4D7A"/>
    <w:rsid w:val="00EE1DF8"/>
    <w:rsid w:val="00EE489C"/>
    <w:rsid w:val="00F0194C"/>
    <w:rsid w:val="00F03B7C"/>
    <w:rsid w:val="00F179B8"/>
    <w:rsid w:val="00F65E19"/>
    <w:rsid w:val="00F717F6"/>
    <w:rsid w:val="00F85820"/>
    <w:rsid w:val="00F940CD"/>
    <w:rsid w:val="00FA4A86"/>
    <w:rsid w:val="00FA5F5A"/>
    <w:rsid w:val="00FB50E8"/>
    <w:rsid w:val="00FC217C"/>
    <w:rsid w:val="00FC6CC2"/>
    <w:rsid w:val="00FD2325"/>
    <w:rsid w:val="00FF0E60"/>
    <w:rsid w:val="00FF3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FF050-FE86-4340-AEFF-DD28F4CCB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5AD6"/>
    <w:pPr>
      <w:widowControl w:val="0"/>
      <w:autoSpaceDE w:val="0"/>
      <w:autoSpaceDN w:val="0"/>
      <w:spacing w:after="0" w:line="240" w:lineRule="auto"/>
    </w:pPr>
    <w:rPr>
      <w:rFonts w:ascii="Calibri" w:eastAsia="Times New Roman" w:hAnsi="Calibri" w:cs="Calibri"/>
      <w:szCs w:val="20"/>
      <w:lang w:eastAsia="ru-RU"/>
    </w:rPr>
  </w:style>
  <w:style w:type="character" w:customStyle="1" w:styleId="active">
    <w:name w:val="active"/>
    <w:basedOn w:val="a0"/>
    <w:rsid w:val="0002200E"/>
  </w:style>
  <w:style w:type="character" w:styleId="a3">
    <w:name w:val="Strong"/>
    <w:basedOn w:val="a0"/>
    <w:uiPriority w:val="22"/>
    <w:qFormat/>
    <w:rsid w:val="00F85820"/>
    <w:rPr>
      <w:b/>
      <w:bCs/>
    </w:rPr>
  </w:style>
  <w:style w:type="character" w:styleId="a4">
    <w:name w:val="Hyperlink"/>
    <w:basedOn w:val="a0"/>
    <w:uiPriority w:val="99"/>
    <w:unhideWhenUsed/>
    <w:rsid w:val="00BB7D74"/>
    <w:rPr>
      <w:color w:val="0563C1" w:themeColor="hyperlink"/>
      <w:u w:val="single"/>
    </w:rPr>
  </w:style>
  <w:style w:type="paragraph" w:styleId="a5">
    <w:name w:val="List Paragraph"/>
    <w:basedOn w:val="a"/>
    <w:uiPriority w:val="34"/>
    <w:qFormat/>
    <w:rsid w:val="00B053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7205">
      <w:bodyDiv w:val="1"/>
      <w:marLeft w:val="0"/>
      <w:marRight w:val="0"/>
      <w:marTop w:val="0"/>
      <w:marBottom w:val="0"/>
      <w:divBdr>
        <w:top w:val="none" w:sz="0" w:space="0" w:color="auto"/>
        <w:left w:val="none" w:sz="0" w:space="0" w:color="auto"/>
        <w:bottom w:val="none" w:sz="0" w:space="0" w:color="auto"/>
        <w:right w:val="none" w:sz="0" w:space="0" w:color="auto"/>
      </w:divBdr>
    </w:div>
    <w:div w:id="13190932">
      <w:bodyDiv w:val="1"/>
      <w:marLeft w:val="0"/>
      <w:marRight w:val="0"/>
      <w:marTop w:val="0"/>
      <w:marBottom w:val="0"/>
      <w:divBdr>
        <w:top w:val="none" w:sz="0" w:space="0" w:color="auto"/>
        <w:left w:val="none" w:sz="0" w:space="0" w:color="auto"/>
        <w:bottom w:val="none" w:sz="0" w:space="0" w:color="auto"/>
        <w:right w:val="none" w:sz="0" w:space="0" w:color="auto"/>
      </w:divBdr>
    </w:div>
    <w:div w:id="197200708">
      <w:bodyDiv w:val="1"/>
      <w:marLeft w:val="0"/>
      <w:marRight w:val="0"/>
      <w:marTop w:val="0"/>
      <w:marBottom w:val="0"/>
      <w:divBdr>
        <w:top w:val="none" w:sz="0" w:space="0" w:color="auto"/>
        <w:left w:val="none" w:sz="0" w:space="0" w:color="auto"/>
        <w:bottom w:val="none" w:sz="0" w:space="0" w:color="auto"/>
        <w:right w:val="none" w:sz="0" w:space="0" w:color="auto"/>
      </w:divBdr>
    </w:div>
    <w:div w:id="216360111">
      <w:bodyDiv w:val="1"/>
      <w:marLeft w:val="0"/>
      <w:marRight w:val="0"/>
      <w:marTop w:val="0"/>
      <w:marBottom w:val="0"/>
      <w:divBdr>
        <w:top w:val="none" w:sz="0" w:space="0" w:color="auto"/>
        <w:left w:val="none" w:sz="0" w:space="0" w:color="auto"/>
        <w:bottom w:val="none" w:sz="0" w:space="0" w:color="auto"/>
        <w:right w:val="none" w:sz="0" w:space="0" w:color="auto"/>
      </w:divBdr>
    </w:div>
    <w:div w:id="374156513">
      <w:bodyDiv w:val="1"/>
      <w:marLeft w:val="0"/>
      <w:marRight w:val="0"/>
      <w:marTop w:val="0"/>
      <w:marBottom w:val="0"/>
      <w:divBdr>
        <w:top w:val="none" w:sz="0" w:space="0" w:color="auto"/>
        <w:left w:val="none" w:sz="0" w:space="0" w:color="auto"/>
        <w:bottom w:val="none" w:sz="0" w:space="0" w:color="auto"/>
        <w:right w:val="none" w:sz="0" w:space="0" w:color="auto"/>
      </w:divBdr>
    </w:div>
    <w:div w:id="531039581">
      <w:bodyDiv w:val="1"/>
      <w:marLeft w:val="0"/>
      <w:marRight w:val="0"/>
      <w:marTop w:val="0"/>
      <w:marBottom w:val="0"/>
      <w:divBdr>
        <w:top w:val="none" w:sz="0" w:space="0" w:color="auto"/>
        <w:left w:val="none" w:sz="0" w:space="0" w:color="auto"/>
        <w:bottom w:val="none" w:sz="0" w:space="0" w:color="auto"/>
        <w:right w:val="none" w:sz="0" w:space="0" w:color="auto"/>
      </w:divBdr>
    </w:div>
    <w:div w:id="613905085">
      <w:bodyDiv w:val="1"/>
      <w:marLeft w:val="0"/>
      <w:marRight w:val="0"/>
      <w:marTop w:val="0"/>
      <w:marBottom w:val="0"/>
      <w:divBdr>
        <w:top w:val="none" w:sz="0" w:space="0" w:color="auto"/>
        <w:left w:val="none" w:sz="0" w:space="0" w:color="auto"/>
        <w:bottom w:val="none" w:sz="0" w:space="0" w:color="auto"/>
        <w:right w:val="none" w:sz="0" w:space="0" w:color="auto"/>
      </w:divBdr>
    </w:div>
    <w:div w:id="901408313">
      <w:bodyDiv w:val="1"/>
      <w:marLeft w:val="0"/>
      <w:marRight w:val="0"/>
      <w:marTop w:val="0"/>
      <w:marBottom w:val="0"/>
      <w:divBdr>
        <w:top w:val="none" w:sz="0" w:space="0" w:color="auto"/>
        <w:left w:val="none" w:sz="0" w:space="0" w:color="auto"/>
        <w:bottom w:val="none" w:sz="0" w:space="0" w:color="auto"/>
        <w:right w:val="none" w:sz="0" w:space="0" w:color="auto"/>
      </w:divBdr>
    </w:div>
    <w:div w:id="905799987">
      <w:bodyDiv w:val="1"/>
      <w:marLeft w:val="0"/>
      <w:marRight w:val="0"/>
      <w:marTop w:val="0"/>
      <w:marBottom w:val="0"/>
      <w:divBdr>
        <w:top w:val="none" w:sz="0" w:space="0" w:color="auto"/>
        <w:left w:val="none" w:sz="0" w:space="0" w:color="auto"/>
        <w:bottom w:val="none" w:sz="0" w:space="0" w:color="auto"/>
        <w:right w:val="none" w:sz="0" w:space="0" w:color="auto"/>
      </w:divBdr>
    </w:div>
    <w:div w:id="927663338">
      <w:bodyDiv w:val="1"/>
      <w:marLeft w:val="0"/>
      <w:marRight w:val="0"/>
      <w:marTop w:val="0"/>
      <w:marBottom w:val="0"/>
      <w:divBdr>
        <w:top w:val="none" w:sz="0" w:space="0" w:color="auto"/>
        <w:left w:val="none" w:sz="0" w:space="0" w:color="auto"/>
        <w:bottom w:val="none" w:sz="0" w:space="0" w:color="auto"/>
        <w:right w:val="none" w:sz="0" w:space="0" w:color="auto"/>
      </w:divBdr>
    </w:div>
    <w:div w:id="1053428960">
      <w:bodyDiv w:val="1"/>
      <w:marLeft w:val="0"/>
      <w:marRight w:val="0"/>
      <w:marTop w:val="0"/>
      <w:marBottom w:val="0"/>
      <w:divBdr>
        <w:top w:val="none" w:sz="0" w:space="0" w:color="auto"/>
        <w:left w:val="none" w:sz="0" w:space="0" w:color="auto"/>
        <w:bottom w:val="none" w:sz="0" w:space="0" w:color="auto"/>
        <w:right w:val="none" w:sz="0" w:space="0" w:color="auto"/>
      </w:divBdr>
    </w:div>
    <w:div w:id="1065177072">
      <w:bodyDiv w:val="1"/>
      <w:marLeft w:val="0"/>
      <w:marRight w:val="0"/>
      <w:marTop w:val="0"/>
      <w:marBottom w:val="0"/>
      <w:divBdr>
        <w:top w:val="none" w:sz="0" w:space="0" w:color="auto"/>
        <w:left w:val="none" w:sz="0" w:space="0" w:color="auto"/>
        <w:bottom w:val="none" w:sz="0" w:space="0" w:color="auto"/>
        <w:right w:val="none" w:sz="0" w:space="0" w:color="auto"/>
      </w:divBdr>
    </w:div>
    <w:div w:id="1127309251">
      <w:bodyDiv w:val="1"/>
      <w:marLeft w:val="0"/>
      <w:marRight w:val="0"/>
      <w:marTop w:val="0"/>
      <w:marBottom w:val="0"/>
      <w:divBdr>
        <w:top w:val="none" w:sz="0" w:space="0" w:color="auto"/>
        <w:left w:val="none" w:sz="0" w:space="0" w:color="auto"/>
        <w:bottom w:val="none" w:sz="0" w:space="0" w:color="auto"/>
        <w:right w:val="none" w:sz="0" w:space="0" w:color="auto"/>
      </w:divBdr>
    </w:div>
    <w:div w:id="1164130790">
      <w:bodyDiv w:val="1"/>
      <w:marLeft w:val="0"/>
      <w:marRight w:val="0"/>
      <w:marTop w:val="0"/>
      <w:marBottom w:val="0"/>
      <w:divBdr>
        <w:top w:val="none" w:sz="0" w:space="0" w:color="auto"/>
        <w:left w:val="none" w:sz="0" w:space="0" w:color="auto"/>
        <w:bottom w:val="none" w:sz="0" w:space="0" w:color="auto"/>
        <w:right w:val="none" w:sz="0" w:space="0" w:color="auto"/>
      </w:divBdr>
    </w:div>
    <w:div w:id="1166477402">
      <w:bodyDiv w:val="1"/>
      <w:marLeft w:val="0"/>
      <w:marRight w:val="0"/>
      <w:marTop w:val="0"/>
      <w:marBottom w:val="0"/>
      <w:divBdr>
        <w:top w:val="none" w:sz="0" w:space="0" w:color="auto"/>
        <w:left w:val="none" w:sz="0" w:space="0" w:color="auto"/>
        <w:bottom w:val="none" w:sz="0" w:space="0" w:color="auto"/>
        <w:right w:val="none" w:sz="0" w:space="0" w:color="auto"/>
      </w:divBdr>
    </w:div>
    <w:div w:id="1184978960">
      <w:bodyDiv w:val="1"/>
      <w:marLeft w:val="0"/>
      <w:marRight w:val="0"/>
      <w:marTop w:val="0"/>
      <w:marBottom w:val="0"/>
      <w:divBdr>
        <w:top w:val="none" w:sz="0" w:space="0" w:color="auto"/>
        <w:left w:val="none" w:sz="0" w:space="0" w:color="auto"/>
        <w:bottom w:val="none" w:sz="0" w:space="0" w:color="auto"/>
        <w:right w:val="none" w:sz="0" w:space="0" w:color="auto"/>
      </w:divBdr>
    </w:div>
    <w:div w:id="1309751103">
      <w:bodyDiv w:val="1"/>
      <w:marLeft w:val="0"/>
      <w:marRight w:val="0"/>
      <w:marTop w:val="0"/>
      <w:marBottom w:val="0"/>
      <w:divBdr>
        <w:top w:val="none" w:sz="0" w:space="0" w:color="auto"/>
        <w:left w:val="none" w:sz="0" w:space="0" w:color="auto"/>
        <w:bottom w:val="none" w:sz="0" w:space="0" w:color="auto"/>
        <w:right w:val="none" w:sz="0" w:space="0" w:color="auto"/>
      </w:divBdr>
    </w:div>
    <w:div w:id="1362901899">
      <w:bodyDiv w:val="1"/>
      <w:marLeft w:val="0"/>
      <w:marRight w:val="0"/>
      <w:marTop w:val="0"/>
      <w:marBottom w:val="0"/>
      <w:divBdr>
        <w:top w:val="none" w:sz="0" w:space="0" w:color="auto"/>
        <w:left w:val="none" w:sz="0" w:space="0" w:color="auto"/>
        <w:bottom w:val="none" w:sz="0" w:space="0" w:color="auto"/>
        <w:right w:val="none" w:sz="0" w:space="0" w:color="auto"/>
      </w:divBdr>
    </w:div>
    <w:div w:id="1710639706">
      <w:bodyDiv w:val="1"/>
      <w:marLeft w:val="0"/>
      <w:marRight w:val="0"/>
      <w:marTop w:val="0"/>
      <w:marBottom w:val="0"/>
      <w:divBdr>
        <w:top w:val="none" w:sz="0" w:space="0" w:color="auto"/>
        <w:left w:val="none" w:sz="0" w:space="0" w:color="auto"/>
        <w:bottom w:val="none" w:sz="0" w:space="0" w:color="auto"/>
        <w:right w:val="none" w:sz="0" w:space="0" w:color="auto"/>
      </w:divBdr>
    </w:div>
    <w:div w:id="1877500098">
      <w:bodyDiv w:val="1"/>
      <w:marLeft w:val="0"/>
      <w:marRight w:val="0"/>
      <w:marTop w:val="0"/>
      <w:marBottom w:val="0"/>
      <w:divBdr>
        <w:top w:val="none" w:sz="0" w:space="0" w:color="auto"/>
        <w:left w:val="none" w:sz="0" w:space="0" w:color="auto"/>
        <w:bottom w:val="none" w:sz="0" w:space="0" w:color="auto"/>
        <w:right w:val="none" w:sz="0" w:space="0" w:color="auto"/>
      </w:divBdr>
    </w:div>
    <w:div w:id="1972513464">
      <w:bodyDiv w:val="1"/>
      <w:marLeft w:val="0"/>
      <w:marRight w:val="0"/>
      <w:marTop w:val="0"/>
      <w:marBottom w:val="0"/>
      <w:divBdr>
        <w:top w:val="none" w:sz="0" w:space="0" w:color="auto"/>
        <w:left w:val="none" w:sz="0" w:space="0" w:color="auto"/>
        <w:bottom w:val="none" w:sz="0" w:space="0" w:color="auto"/>
        <w:right w:val="none" w:sz="0" w:space="0" w:color="auto"/>
      </w:divBdr>
    </w:div>
    <w:div w:id="213136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hyperlink" Target="http://www.frs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ukif-fs.uk.lan\storage$\groups\&#1050;&#1086;&#1085;&#1090;&#1088;&#1086;&#1083;&#1100;\&#1053;&#1042;&#1043;\&#1050;&#1048;&#1044;\&#1044;&#1086;&#1093;&#1086;&#1076;&#1085;&#1086;&#1089;&#1090;&#1080;,%20&#1080;&#1085;&#1092;&#1083;&#1103;&#1094;&#1080;&#1103;\09.202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0" i="0" u="none" strike="noStrike" baseline="0">
                <a:solidFill>
                  <a:srgbClr val="333333"/>
                </a:solidFill>
                <a:latin typeface="Calibri"/>
                <a:ea typeface="Calibri"/>
                <a:cs typeface="Calibri"/>
              </a:defRPr>
            </a:pPr>
            <a:r>
              <a:rPr lang="ru-RU"/>
              <a:t>Доходность за календарный год, %</a:t>
            </a:r>
          </a:p>
        </c:rich>
      </c:tx>
      <c:layout/>
      <c:overlay val="0"/>
      <c:spPr>
        <a:noFill/>
        <a:ln w="25400">
          <a:noFill/>
        </a:ln>
      </c:spPr>
    </c:title>
    <c:autoTitleDeleted val="0"/>
    <c:plotArea>
      <c:layout/>
      <c:barChart>
        <c:barDir val="col"/>
        <c:grouping val="stacked"/>
        <c:varyColors val="0"/>
        <c:ser>
          <c:idx val="0"/>
          <c:order val="0"/>
          <c:spPr>
            <a:solidFill>
              <a:srgbClr val="5B9BD5"/>
            </a:solidFill>
            <a:ln w="25400">
              <a:noFill/>
            </a:ln>
          </c:spPr>
          <c:invertIfNegative val="0"/>
          <c:dLbls>
            <c:dLbl>
              <c:idx val="0"/>
              <c:layout>
                <c:manualLayout>
                  <c:x val="-3.244119203755268E-3"/>
                  <c:y val="-0.37443441521029375"/>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6.0218004810493539E-3"/>
                  <c:y val="-0.10625482790260969"/>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3689016921665279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5556179970451605E-3"/>
                  <c:y val="-0.19839532253590242"/>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3.2441192037550894E-3"/>
                  <c:y val="-0.16260162601626016"/>
                </c:manualLayout>
              </c:layout>
              <c:spPr>
                <a:noFill/>
                <a:ln w="25400">
                  <a:noFill/>
                </a:ln>
              </c:spPr>
              <c:txPr>
                <a:bodyPr/>
                <a:lstStyle/>
                <a:p>
                  <a:pPr>
                    <a:defRPr sz="900" b="0" i="0" u="none" strike="noStrike" baseline="0">
                      <a:solidFill>
                        <a:srgbClr val="333333"/>
                      </a:solidFill>
                      <a:latin typeface="Calibri"/>
                      <a:ea typeface="Calibri"/>
                      <a:cs typeface="Calibri"/>
                    </a:defRPr>
                  </a:pPr>
                  <a:endParaRPr lang="ru-RU"/>
                </a:p>
              </c:txPr>
              <c:dLblPos val="ct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900" b="0" i="0" u="none" strike="noStrike" baseline="0">
                    <a:solidFill>
                      <a:srgbClr val="333333"/>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'Доходность за календарный год %'!$A$54:$A$55</c:f>
              <c:numCache>
                <c:formatCode>General</c:formatCode>
                <c:ptCount val="2"/>
                <c:pt idx="0">
                  <c:v>2019</c:v>
                </c:pt>
                <c:pt idx="1">
                  <c:v>2020</c:v>
                </c:pt>
              </c:numCache>
            </c:numRef>
          </c:cat>
          <c:val>
            <c:numRef>
              <c:f>'Доходность за календарный год %'!$B$54:$B$55</c:f>
              <c:numCache>
                <c:formatCode>#,##0.00</c:formatCode>
                <c:ptCount val="2"/>
                <c:pt idx="0">
                  <c:v>-13.08</c:v>
                </c:pt>
                <c:pt idx="1">
                  <c:v>-1.1000000000000001</c:v>
                </c:pt>
              </c:numCache>
            </c:numRef>
          </c:val>
        </c:ser>
        <c:dLbls>
          <c:showLegendKey val="0"/>
          <c:showVal val="0"/>
          <c:showCatName val="0"/>
          <c:showSerName val="0"/>
          <c:showPercent val="0"/>
          <c:showBubbleSize val="0"/>
        </c:dLbls>
        <c:gapWidth val="150"/>
        <c:overlap val="100"/>
        <c:axId val="466558104"/>
        <c:axId val="466558496"/>
      </c:barChart>
      <c:catAx>
        <c:axId val="466558104"/>
        <c:scaling>
          <c:orientation val="minMax"/>
        </c:scaling>
        <c:delete val="0"/>
        <c:axPos val="b"/>
        <c:numFmt formatCode="General" sourceLinked="1"/>
        <c:majorTickMark val="none"/>
        <c:minorTickMark val="none"/>
        <c:tickLblPos val="nextTo"/>
        <c:spPr>
          <a:ln w="6350">
            <a:noFill/>
          </a:ln>
        </c:spPr>
        <c:txPr>
          <a:bodyPr rot="0" vert="horz"/>
          <a:lstStyle/>
          <a:p>
            <a:pPr>
              <a:defRPr sz="900" b="1" i="0" u="none" strike="noStrike" baseline="0">
                <a:solidFill>
                  <a:srgbClr val="333333"/>
                </a:solidFill>
                <a:latin typeface="Calibri"/>
                <a:ea typeface="Calibri"/>
                <a:cs typeface="Calibri"/>
              </a:defRPr>
            </a:pPr>
            <a:endParaRPr lang="ru-RU"/>
          </a:p>
        </c:txPr>
        <c:crossAx val="466558496"/>
        <c:crosses val="autoZero"/>
        <c:auto val="1"/>
        <c:lblAlgn val="ctr"/>
        <c:lblOffset val="100"/>
        <c:noMultiLvlLbl val="0"/>
      </c:catAx>
      <c:valAx>
        <c:axId val="466558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ln w="6350">
            <a:noFill/>
          </a:ln>
        </c:spPr>
        <c:txPr>
          <a:bodyPr rot="0" vert="horz"/>
          <a:lstStyle/>
          <a:p>
            <a:pPr>
              <a:defRPr sz="900" b="0" i="0" u="none" strike="noStrike" baseline="0">
                <a:solidFill>
                  <a:srgbClr val="333333"/>
                </a:solidFill>
                <a:latin typeface="Calibri"/>
                <a:ea typeface="Calibri"/>
                <a:cs typeface="Calibri"/>
              </a:defRPr>
            </a:pPr>
            <a:endParaRPr lang="ru-RU"/>
          </a:p>
        </c:txPr>
        <c:crossAx val="466558104"/>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70D2-550F-4697-B689-D6AACBD83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3</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Андреев Александр Сергеевич</dc:creator>
  <cp:keywords/>
  <dc:description/>
  <cp:lastModifiedBy>Ахидов Максим Николаевич</cp:lastModifiedBy>
  <cp:revision>136</cp:revision>
  <dcterms:created xsi:type="dcterms:W3CDTF">2021-10-07T09:48:00Z</dcterms:created>
  <dcterms:modified xsi:type="dcterms:W3CDTF">2022-01-17T16:22:00Z</dcterms:modified>
</cp:coreProperties>
</file>